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hAnsi="Times New Roman" w:eastAsia="黑体"/>
          <w:sz w:val="32"/>
          <w:szCs w:val="32"/>
        </w:rPr>
      </w:pPr>
      <w:r>
        <w:rPr>
          <w:rFonts w:hint="eastAsia" w:ascii="Times New Roman" w:hAnsi="黑体" w:eastAsia="黑体"/>
          <w:sz w:val="32"/>
          <w:szCs w:val="32"/>
        </w:rPr>
        <w:t>附件</w:t>
      </w:r>
    </w:p>
    <w:p>
      <w:pPr>
        <w:jc w:val="center"/>
        <w:rPr>
          <w:rFonts w:ascii="Times New Roman" w:hAnsi="Times New Roman" w:eastAsia="仿宋_GB2312"/>
          <w:sz w:val="32"/>
          <w:szCs w:val="32"/>
        </w:rPr>
      </w:pPr>
      <w:r>
        <w:rPr>
          <w:rFonts w:hint="eastAsia" w:ascii="Times New Roman" w:hAnsi="Times New Roman" w:eastAsia="方正小标宋简体"/>
          <w:sz w:val="44"/>
          <w:szCs w:val="44"/>
          <w:lang w:eastAsia="zh-CN"/>
        </w:rPr>
        <w:t>苏州市公安局本级</w:t>
      </w:r>
      <w:r>
        <w:rPr>
          <w:rFonts w:hint="eastAsia" w:ascii="Times New Roman" w:hAnsi="Times New Roman" w:eastAsia="方正小标宋简体"/>
          <w:sz w:val="44"/>
          <w:szCs w:val="44"/>
        </w:rPr>
        <w:t>行政检查事项清单</w:t>
      </w:r>
    </w:p>
    <w:tbl>
      <w:tblPr>
        <w:tblStyle w:val="10"/>
        <w:tblW w:w="1489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574"/>
        <w:gridCol w:w="570"/>
        <w:gridCol w:w="546"/>
        <w:gridCol w:w="840"/>
        <w:gridCol w:w="4785"/>
        <w:gridCol w:w="800"/>
        <w:gridCol w:w="1017"/>
        <w:gridCol w:w="1225"/>
        <w:gridCol w:w="2544"/>
        <w:gridCol w:w="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jc w:val="center"/>
        </w:trPr>
        <w:tc>
          <w:tcPr>
            <w:tcW w:w="51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序号</w:t>
            </w:r>
          </w:p>
        </w:tc>
        <w:tc>
          <w:tcPr>
            <w:tcW w:w="1574"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检查事项</w:t>
            </w:r>
          </w:p>
        </w:tc>
        <w:tc>
          <w:tcPr>
            <w:tcW w:w="57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检查主体</w:t>
            </w:r>
          </w:p>
        </w:tc>
        <w:tc>
          <w:tcPr>
            <w:tcW w:w="546"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检查机构</w:t>
            </w:r>
          </w:p>
        </w:tc>
        <w:tc>
          <w:tcPr>
            <w:tcW w:w="84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检查对象</w:t>
            </w:r>
          </w:p>
        </w:tc>
        <w:tc>
          <w:tcPr>
            <w:tcW w:w="4785"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Times New Roman" w:eastAsia="黑体"/>
                <w:kern w:val="0"/>
                <w:sz w:val="24"/>
              </w:rPr>
              <w:t>检查依据</w:t>
            </w:r>
          </w:p>
        </w:tc>
        <w:tc>
          <w:tcPr>
            <w:tcW w:w="80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检查方式</w:t>
            </w:r>
          </w:p>
        </w:tc>
        <w:tc>
          <w:tcPr>
            <w:tcW w:w="1017"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黑体" w:eastAsia="黑体"/>
                <w:kern w:val="0"/>
                <w:sz w:val="24"/>
              </w:rPr>
            </w:pPr>
            <w:r>
              <w:rPr>
                <w:rFonts w:hint="eastAsia" w:ascii="Times New Roman" w:hAnsi="黑体" w:eastAsia="黑体"/>
                <w:kern w:val="0"/>
                <w:sz w:val="24"/>
              </w:rPr>
              <w:t>检查</w:t>
            </w:r>
          </w:p>
          <w:p>
            <w:pPr>
              <w:jc w:val="center"/>
              <w:rPr>
                <w:rFonts w:ascii="Times New Roman" w:hAnsi="黑体" w:eastAsia="黑体"/>
                <w:kern w:val="0"/>
                <w:sz w:val="24"/>
              </w:rPr>
            </w:pPr>
            <w:r>
              <w:rPr>
                <w:rFonts w:hint="eastAsia" w:ascii="Times New Roman" w:hAnsi="黑体" w:eastAsia="黑体"/>
                <w:kern w:val="0"/>
                <w:sz w:val="24"/>
              </w:rPr>
              <w:t>频次</w:t>
            </w:r>
          </w:p>
          <w:p>
            <w:pPr>
              <w:jc w:val="center"/>
              <w:rPr>
                <w:rFonts w:ascii="Times New Roman" w:hAnsi="Times New Roman" w:eastAsia="黑体"/>
                <w:kern w:val="0"/>
                <w:sz w:val="24"/>
              </w:rPr>
            </w:pPr>
            <w:r>
              <w:rPr>
                <w:rFonts w:hint="eastAsia" w:ascii="Times New Roman" w:hAnsi="黑体" w:eastAsia="黑体"/>
                <w:kern w:val="0"/>
                <w:sz w:val="24"/>
              </w:rPr>
              <w:t>（时间）</w:t>
            </w:r>
          </w:p>
        </w:tc>
        <w:tc>
          <w:tcPr>
            <w:tcW w:w="376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对应的行政权力事项</w:t>
            </w:r>
          </w:p>
        </w:tc>
        <w:tc>
          <w:tcPr>
            <w:tcW w:w="483"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黑体"/>
                <w:kern w:val="0"/>
                <w:sz w:val="24"/>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黑体"/>
                <w:kern w:val="0"/>
                <w:sz w:val="24"/>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黑体"/>
                <w:kern w:val="0"/>
                <w:sz w:val="24"/>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黑体"/>
                <w:kern w:val="0"/>
                <w:sz w:val="24"/>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黑体"/>
                <w:kern w:val="0"/>
                <w:sz w:val="24"/>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黑体"/>
                <w:kern w:val="0"/>
                <w:sz w:val="24"/>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黑体"/>
                <w:kern w:val="0"/>
                <w:sz w:val="24"/>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黑体"/>
                <w:kern w:val="0"/>
                <w:sz w:val="24"/>
              </w:rPr>
            </w:pPr>
          </w:p>
        </w:tc>
        <w:tc>
          <w:tcPr>
            <w:tcW w:w="122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权力编码</w:t>
            </w:r>
          </w:p>
        </w:tc>
        <w:tc>
          <w:tcPr>
            <w:tcW w:w="254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黑体"/>
                <w:kern w:val="0"/>
                <w:sz w:val="24"/>
              </w:rPr>
            </w:pPr>
            <w:r>
              <w:rPr>
                <w:rFonts w:hint="eastAsia" w:ascii="Times New Roman" w:hAnsi="黑体" w:eastAsia="黑体"/>
                <w:kern w:val="0"/>
                <w:sz w:val="24"/>
              </w:rPr>
              <w:t>权力名称</w:t>
            </w:r>
          </w:p>
        </w:tc>
        <w:tc>
          <w:tcPr>
            <w:tcW w:w="4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黑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2" w:hRule="atLeast"/>
          <w:jc w:val="center"/>
        </w:trPr>
        <w:tc>
          <w:tcPr>
            <w:tcW w:w="510"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1</w:t>
            </w:r>
          </w:p>
        </w:tc>
        <w:tc>
          <w:tcPr>
            <w:tcW w:w="1574"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对旅馆业治安情况的行政检查</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苏州市公安局</w:t>
            </w:r>
          </w:p>
        </w:tc>
        <w:tc>
          <w:tcPr>
            <w:tcW w:w="546"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治安部门</w:t>
            </w:r>
          </w:p>
        </w:tc>
        <w:tc>
          <w:tcPr>
            <w:tcW w:w="840"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旅馆业</w:t>
            </w:r>
          </w:p>
        </w:tc>
        <w:tc>
          <w:tcPr>
            <w:tcW w:w="4785"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《旅馆业治安管理办法》</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第四条　申请开办旅馆，应取得市场监管部门核发的营业执照，向当地公安机关申领特种行业许可证后，方准开业。</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经批准开业的旅馆，如有歇业、转业、合并、迁移、改变名称等情况，应当在市场监管部门办理变更登记后3日内，向当地的县、市公安局、公安分局备案。</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第五条　经营旅馆，必须遵守国家的法律，建立各项安全管理制度，设置治安保卫组织或者指定安全保卫人员。</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第六条　旅馆接待旅客住宿必须登记。登记时，应当查验旅客的身份证件，按规定的项目如实登记。</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接待境外旅客住宿，还应当在24小时内向当地公安机关报送住宿登记表。</w:t>
            </w:r>
          </w:p>
        </w:tc>
        <w:tc>
          <w:tcPr>
            <w:tcW w:w="800"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现场</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检查</w:t>
            </w:r>
          </w:p>
        </w:tc>
        <w:tc>
          <w:tcPr>
            <w:tcW w:w="1017"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4次/年；</w:t>
            </w: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320209903000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对未按规定传输、报送登记信息的处罚</w:t>
            </w:r>
          </w:p>
        </w:tc>
        <w:tc>
          <w:tcPr>
            <w:tcW w:w="483" w:type="dxa"/>
            <w:vMerge w:val="restart"/>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320209239000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对不按规定登记住宿旅客信息或不制止住宿旅客带入危险物质行为的处罚</w:t>
            </w:r>
          </w:p>
        </w:tc>
        <w:tc>
          <w:tcPr>
            <w:tcW w:w="483" w:type="dxa"/>
            <w:vMerge w:val="continue"/>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2</w:t>
            </w:r>
          </w:p>
        </w:tc>
        <w:tc>
          <w:tcPr>
            <w:tcW w:w="1574"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对保安服务公司取得许可证情况的行政检查</w:t>
            </w: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tc>
        <w:tc>
          <w:tcPr>
            <w:tcW w:w="570"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center"/>
              <w:rPr>
                <w:rFonts w:hint="eastAsia" w:ascii="Times New Roman" w:hAnsi="Times New Roman" w:eastAsia="方正仿宋_GBK"/>
                <w:kern w:val="0"/>
                <w:szCs w:val="21"/>
                <w:shd w:val="clear" w:color="auto" w:fill="FFFFFF"/>
                <w:lang w:val="en-US" w:eastAsia="zh-CN"/>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苏州市公安局</w:t>
            </w:r>
          </w:p>
        </w:tc>
        <w:tc>
          <w:tcPr>
            <w:tcW w:w="546"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治安部门</w:t>
            </w:r>
          </w:p>
        </w:tc>
        <w:tc>
          <w:tcPr>
            <w:tcW w:w="840"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center"/>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保安服务业</w:t>
            </w:r>
          </w:p>
        </w:tc>
        <w:tc>
          <w:tcPr>
            <w:tcW w:w="4785"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《保安服务管理条例》</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第八条　保安服务公司应当具备下列条件：</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（一）有不低于人民币100万元的注册资本；</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（二）拟任的保安服务公司法定代表人和主要管理人员应当具备任职所需的专业知识和有关业务工作经验，无被刑事处罚、劳动教养、收容教育、强制隔离戒毒或者被开除公职、开除军籍等不良记录；</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（三）有与所提供的保安服务相适应的专业技术人员，其中法律、行政法规有资格要求的专业技术人员，应当取得相应的资格；</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（四）有住所和提供保安服务所需的设施、装备；</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（五）有健全的组织机构和保安服务管理制度、岗位责任制度、保安员管理制度。</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第九条　申请设立保安服务公司，应当向所在地设区的市级人民政府公安机关提交申请书以及能够证明其符合本条例第八条规定条件的材料。</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受理的公安机关应当自收到申请材料之日起15日内进行审核，并将审核意见报所在地的省、自治区、直辖市人民政府公安机关。省、自治区、直辖市人民政府公安机关应当自收到审核意见之日起15日内作出决定，对符合条件的，核发保安服务许可证；对不符合条件的，书面通知申请人并说明理由。</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第十二条　取得保安服务许可证的申请人，凭保安服务许可证到工商行政管理机关办理工商登记。取得保安服务许可证后超过6个月未办理工商登记的，取得的保安服务许可证失效。</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保安服务公司设立分公司的，应当向分公司所在地设区的市级人民政府公安机关备案。备案应当提供总公司的保安服务许可证和工商营业执照，总公司法定代表人、分公司负责人和保安员的基本情况。</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保安服务公司的法定代表人变更的，应当经原审批公安机关审核，持审核文件到工商行政管理机关办理变更登记。</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现场检查、书面检查</w:t>
            </w:r>
          </w:p>
        </w:tc>
        <w:tc>
          <w:tcPr>
            <w:tcW w:w="1017"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2次/年</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320209815000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对保安服务公司法定代表人变更未经公安机关审核的处罚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320209693000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对保安服务公司未对客户单位要求提供的保安服务的合法性进行核查或者未将违法的保安服务要求向公安机关报告的处罚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320209694000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对保安服务公司未按照规定签订、留存保安服务合同的处罚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320209709000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对保安从业单位未按照规定留存保安服务中形成的监控影像资料、报警记录的处罚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320209710000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对客户单位未按照规定留存保安服务中形成的监控影像资料、报警记录的处罚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320209400000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对保安从业单位泄露在保安服务中获知的国家秘密、商业秘密以及客户单位明确要求保密的信息的处罚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320209401000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对保安从业单位使用监控设备侵犯他人合法权益或者个人隐私的处罚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320209402000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对保安从业单位删改或者扩散保安服务中形成的监控影像资料、报警记录的处罚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320209228000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对保安从业单位指使、纵容保安员阻碍依法执行公务、参与追索债务、采用暴力或者以暴力相威胁的手段处置纠纷的处罚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320209875000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对保安从业单位对保安员疏于管理、教育和培训，发生保安员违法犯罪案件，造成严重后果的处罚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3" w:hRule="atLeast"/>
          <w:jc w:val="center"/>
        </w:trPr>
        <w:tc>
          <w:tcPr>
            <w:tcW w:w="51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320209876000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对客户单位删改或者扩散保安服务中形成的监控影像资料、报警记录的处罚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3" w:hRule="atLeast"/>
          <w:jc w:val="center"/>
        </w:trPr>
        <w:tc>
          <w:tcPr>
            <w:tcW w:w="51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对保安培训单位取得许可证（备案）情况的行政检查</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苏州市公安局</w:t>
            </w:r>
          </w:p>
        </w:tc>
        <w:tc>
          <w:tcPr>
            <w:tcW w:w="546"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治安部门</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保安培训业</w:t>
            </w:r>
          </w:p>
        </w:tc>
        <w:tc>
          <w:tcPr>
            <w:tcW w:w="4785" w:type="dxa"/>
            <w:vMerge w:val="restart"/>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《保安服务管理条例》</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第三十二条　保安培训单位应当具备下列条件：</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（一）是依法设立的具有法人资格的学校、职业培训机构；</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（二）有保安培训所需的专兼职师资力量；</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（三）有保安培训所需的场所、设施等教学条件。</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第三十三条　申请从事保安培训的单位，应当自开展培训之日起30日内向所在地设区的市级人民政府公安机关备案，提交能够证明其符合本条例第三十二条规定条件的材料。</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保安培训单位出资人、法定代表人（主要负责人）、住所、名称发生变化的，应当到原备案公安机关办理变更。</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保安培训单位终止培训的，应当自终止培训之日起30日内到原备案公安机关撤销备案。</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第三十四条　从事武装守护押运服务的保安员的枪支使用培训，应当由人民警察院校、人民警察培训机构负责。承担培训工作的人民警察院校、人民警察培训机构应当向所在地的省、自治区、直辖市人民政府公安机关备案。</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第三十五条　保安培训单位应当按照保安员培训教学大纲制订教学计划，对接受培训的人员进行法律、保安专业知识和技能培训以及职业道德教育。</w:t>
            </w:r>
            <w:r>
              <w:rPr>
                <w:rFonts w:hint="eastAsia" w:ascii="Times New Roman" w:hAnsi="Times New Roman" w:eastAsia="方正仿宋_GBK"/>
                <w:kern w:val="0"/>
                <w:szCs w:val="21"/>
                <w:shd w:val="clear" w:color="auto" w:fill="FFFFFF"/>
              </w:rPr>
              <w:br w:type="textWrapping"/>
            </w:r>
            <w:r>
              <w:rPr>
                <w:rFonts w:hint="eastAsia" w:ascii="Times New Roman" w:hAnsi="Times New Roman" w:eastAsia="方正仿宋_GBK"/>
                <w:kern w:val="0"/>
                <w:szCs w:val="21"/>
                <w:shd w:val="clear" w:color="auto" w:fill="FFFFFF"/>
              </w:rPr>
              <w:t>　　保安员培训教学大纲由国务院公安部门审定。</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第三十六条  公安机关应当指导保安从业单位建立健全保安服务管理制度、岗位责任制度、保安员管理制度和紧急情况预案，督促保安从业单位落实相关管理制度。</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保安从业单位、保安培训单位和保安员应当接受公安机关的监督检查。</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第三十八条 公安机关的人民警察对保安从业单位、保安培训单位实施监督检查应当出示证件；对监督检查过程中发现的问题，应当督促其整改。监督检查的情况和处理结果应当如实记录，并由公安机关的监督检查人员和保安从业单位、保安培训单位</w:t>
            </w:r>
            <w:bookmarkStart w:id="1" w:name="_GoBack"/>
            <w:bookmarkEnd w:id="1"/>
            <w:r>
              <w:rPr>
                <w:rFonts w:hint="eastAsia" w:ascii="Times New Roman" w:hAnsi="Times New Roman" w:eastAsia="方正仿宋_GBK"/>
                <w:kern w:val="0"/>
                <w:szCs w:val="21"/>
                <w:shd w:val="clear" w:color="auto" w:fill="FFFFFF"/>
              </w:rPr>
              <w:t>的有关负责人签字。</w:t>
            </w:r>
          </w:p>
        </w:tc>
        <w:tc>
          <w:tcPr>
            <w:tcW w:w="80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现场检查、书面检查</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2次/年</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320209328000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对保安培训机构未按规定办理变更手续的处罚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320209329000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对保安培训机构未按规定时间安排保安员实习的处罚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320209338000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对保安培训机构非法提供保安服务的处罚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320209654000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对保安培训机构未按规定签订和备案保安培训合同的处罚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320209655000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对保安培训机构发布虚假招生广告的处罚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320209656000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对保安培训机构非法传授侦察技术的处罚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320209660000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对保安培训机构未按规定内容、计划进行保安培训的处罚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320209661000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对保安培训机未按规定颁发保安培训结业证书的处罚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320209662000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对保安培训机未按规定建立保安学员档案管理制度的处罚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320209812000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对保安培训机未按规定备案保安学员、师资人员档案的处罚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320209813000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对保安培训机违规收取保安培训费用的处罚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1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320209814000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对保安培训机构转包、违规委托保安培训业务的处罚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35" w:hRule="atLeast"/>
          <w:jc w:val="center"/>
        </w:trPr>
        <w:tc>
          <w:tcPr>
            <w:tcW w:w="51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default" w:ascii="Times New Roman" w:hAnsi="Times New Roman" w:eastAsia="方正仿宋_GBK"/>
                <w:kern w:val="0"/>
                <w:szCs w:val="21"/>
                <w:shd w:val="clear" w:color="auto" w:fill="FFFFFF"/>
                <w:lang w:val="en-US" w:eastAsia="zh-CN"/>
              </w:rPr>
            </w:pPr>
            <w:r>
              <w:rPr>
                <w:rFonts w:hint="eastAsia" w:ascii="Times New Roman" w:hAnsi="Times New Roman" w:eastAsia="方正仿宋_GBK"/>
                <w:kern w:val="0"/>
                <w:szCs w:val="21"/>
                <w:shd w:val="clear" w:color="auto" w:fill="FFFFFF"/>
                <w:lang w:val="en-US" w:eastAsia="zh-CN"/>
              </w:rPr>
              <w:t>4</w:t>
            </w:r>
          </w:p>
        </w:tc>
        <w:tc>
          <w:tcPr>
            <w:tcW w:w="1574"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对枪支单位落实治安管理制度的行政检查</w:t>
            </w:r>
          </w:p>
        </w:tc>
        <w:tc>
          <w:tcPr>
            <w:tcW w:w="57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苏州市公安局</w:t>
            </w:r>
          </w:p>
        </w:tc>
        <w:tc>
          <w:tcPr>
            <w:tcW w:w="546"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治安部门</w:t>
            </w:r>
          </w:p>
        </w:tc>
        <w:tc>
          <w:tcPr>
            <w:tcW w:w="84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枪支单位</w:t>
            </w:r>
          </w:p>
        </w:tc>
        <w:tc>
          <w:tcPr>
            <w:tcW w:w="4785"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《中华人民共和国枪支管理法》</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第十三条　国家对枪支的制造、配售实行特别许可制度。未经许可，任何单位或者个人不得制造、买卖枪支。</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第十七条　制造民用枪支的企业不得超过限额制造民用枪支，所制造的民用枪支必须全部交由指定的民用枪支配售企业配售，不得自行销售。配售民用枪支的企业应当在配售限额内，配售指定的企业制造的民用枪支。</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第十八条　制造民用枪支的企业，必须严格按照国家规定的技术标准制造民用枪支，不得改变民用枪支的性能和结构；必须在民用枪支指定部位铸印制造厂的厂名、枪种代码和国务院公安部门统一编制的枪支序号，不得制造无号、重号、假号的民用枪支。</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制造民用枪支的企业必须实行封闭式管理，采取必要的安全保卫措施，防止民用枪支以及民用枪支零部件丢失。</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第十九条　配售民用枪支，必须核对配购证件，严格按照配购证件载明的品种、型号和数量配售；配售弹药，必须核对持枪证件。民用枪支配售企业必须按照国务院公安部门的规定建立配售帐册，长期保管备查。</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第二十条　公安机关对制造、配售民用枪支的企业制造、配售、储存和帐册登记等情况，必须进行定期检查；必要时，可以派专人驻厂对制造企业进行监督、检查。</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第二十二条　禁止制造、销售仿真枪。</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《射击竞技体育运动枪支管理办法》（国家体育总局、公安部令第12号）</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第三十七条　射击竞技体育运动单位有下列行为之一的，由公安机关没收运动枪支，体育行政部门依照有关规定，给予当事人行政处分：</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（一）未按规定办理《民用枪支持枪证》的；</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（二）未按规定上交报废运动枪支的；</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（三）私自借用运动枪支的；</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（四）在非射击运动场地进行射击活动的；</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（五）在禁止携带枪支的区域、场所携带运动枪支的。</w:t>
            </w:r>
          </w:p>
        </w:tc>
        <w:tc>
          <w:tcPr>
            <w:tcW w:w="80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现场检查</w:t>
            </w:r>
          </w:p>
        </w:tc>
        <w:tc>
          <w:tcPr>
            <w:tcW w:w="1017"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全年</w:t>
            </w: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320209271000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对违规制造枪支的处罚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5"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320209290000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对违规配售枪支行为的处罚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320209386000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对违规销售枪支行为的处罚</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320209387000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对违规运输枪支行为的处罚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320209388000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对非法出租、出借枪支行为的处罚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320209389000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对未按规定标准制造民用枪支行为的处罚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320209323000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对不上缴报废枪支行为的处罚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320209324000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对丢失枪支不报行为的处罚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320209325000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对制造、销售仿真枪行为的处罚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320209390000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对运动枪支没收的处罚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val="en-US" w:eastAsia="zh-CN"/>
              </w:rPr>
            </w:pPr>
            <w:r>
              <w:rPr>
                <w:rFonts w:hint="eastAsia" w:ascii="Times New Roman" w:hAnsi="Times New Roman" w:eastAsia="方正仿宋_GBK"/>
                <w:kern w:val="0"/>
                <w:szCs w:val="21"/>
                <w:shd w:val="clear" w:color="auto" w:fill="FFFFFF"/>
                <w:lang w:val="en-US" w:eastAsia="zh-CN"/>
              </w:rPr>
              <w:t>5</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对民用爆炸物品单位治安防范制度落实情况的行政检查</w:t>
            </w:r>
          </w:p>
        </w:tc>
        <w:tc>
          <w:tcPr>
            <w:tcW w:w="57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苏州市公安局</w:t>
            </w:r>
          </w:p>
        </w:tc>
        <w:tc>
          <w:tcPr>
            <w:tcW w:w="546"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治安部门</w:t>
            </w:r>
          </w:p>
        </w:tc>
        <w:tc>
          <w:tcPr>
            <w:tcW w:w="84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民用爆炸物品从业单位</w:t>
            </w:r>
          </w:p>
        </w:tc>
        <w:tc>
          <w:tcPr>
            <w:tcW w:w="4785"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《民用爆炸物品安全管理条例》</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第二十二条　民用爆炸物品生产企业凭《民用爆炸物品生产许可证》购买属于民用爆炸物品的原料，民用爆炸物品销售企业凭《民用爆炸物品销售许可证》向民用爆炸物品生产企业购买民用爆炸物品，民用爆炸物品使用单位凭《民用爆炸物品购买许可证》购买民用爆炸物品，还应当提供经办人的身份证明。</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销售民用爆炸物品的企业，应当查验前款规定的许可证和经办人的身份证明；对持《民用爆炸物品购买许可证》购买的，应当按照许可的品种、数量销售。</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第二十三条　销售、购买民用爆炸物品，应当通过银行账户进行交易，不得使用现金或者实物进行交易。</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销售民用爆炸物品的企业，应当将购买单位的许可证、银行账户转账凭证、经办人的身份证明复印件保存2年备查。</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第二十七条　运输民用爆炸物品的，应当凭《民用爆炸物品运输许可证》，按照许可的品种、数量运输。</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第二十八条　经由道路运输民用爆炸物品的，应当遵守下列规定：</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（一）携带《民用爆炸物品运输许可证》；</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（二）民用爆炸物品的装载符合国家有关标准和规范，车厢内不得载人；</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（三）运输车辆安全技术状况应当符合国家有关安全技术标准的要求，并按照规定悬挂或者安装符合国家标准的易燃易爆危险物品警示标志；</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（四）运输民用爆炸物品的车辆应当保持安全车速；</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（五）按照规定的路线行驶，途中经停应当有专人看守，并远离建筑设施和人口稠密的地方，不得在许可以外的地点经停；</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（六）按照安全操作规程装卸民用爆炸物品，并在装卸现场设置警戒，禁止无关人员进入；</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（七）出现危险情况立即采取必要的应急处置措施，并报告当地公安机关。</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第二十九条　民用爆炸物品运达目的地，收货单位应当进行验收后在《民用爆炸物品运输许可证》上签注，并在3日内将《民用爆炸物品运输许可证》交回发证机关核销。</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第三十五条　在城市、风景名胜区和重要工程设施附近实施爆破作业的，应当向爆破作业所在地设区的市级人民政府公安机关提出申请，提交《爆破作业单位许可证》和具有相应资质的安全评估企业出具的爆破设计、施工方案评估报告。</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第四十条　民用爆炸物品应当储存在专用仓库内，并按照国家规定设置技术防范设施。</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第四十一条　储存民用爆炸物品应当遵守下列规定：</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（一）建立出入库检查、登记制度，收存和发放民用爆炸物品必须进行登记，做到账目清楚，账物相符；</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（二）储存的民用爆炸物品数量不得超过储存设计容量，对性质相抵触的民用爆炸物品必须分库储存，严禁在库房内存放其他物品；</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（三）专用仓库应当指定专人管理、看护，严禁无关人员进入仓库区内，严禁在仓库区内吸烟和用火，严禁把其他容易引起燃烧、爆炸的物品带入仓库区内，严禁在库房内住宿和进行其他活动；</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（四）民用爆炸物品丢失、被盗、被抢，应当立即报告当地公安机关。</w:t>
            </w:r>
          </w:p>
        </w:tc>
        <w:tc>
          <w:tcPr>
            <w:tcW w:w="80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现场检查</w:t>
            </w:r>
          </w:p>
        </w:tc>
        <w:tc>
          <w:tcPr>
            <w:tcW w:w="1017"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全年</w:t>
            </w: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320209713000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对未经许可购买、运输民用爆炸物品或者从事爆炸作业的处罚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320209714000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对未按规定对民用爆炸物品作出警示、登记标识行为的处罚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320209715000</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对超出许可购买民用爆炸物品行为的处罚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320209939000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对使用现金、实物交易民用爆炸物品行为的处罚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320209940000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对销售民用爆炸物品未按规定保存交易证明材料行为的处罚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320209010000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对销售、购买、进出口民用爆炸物品未按规定备案行为的处罚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320209941000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对未按规定建立民用爆炸物品登记制度行为的处罚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320209942000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对未按规定核销民用爆炸物品运输许可证行为的处罚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320209723000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对违反许可事项运输民用爆炸物品行为的处罚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320209724000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对未携带许可证运输民用爆炸物品行为的处罚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320209725000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对违规混装民用爆炸物品行为的处罚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320209726000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对民用爆炸物品运输车辆未按规定悬挂、安装警示标志行为的处罚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320209737000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对违反行驶、停靠规定运输民用爆炸物品行为的处罚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320209410000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对装载民用爆炸物品的车厢载人行为的处罚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320209426000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对运输民用爆炸物品发生危险未处置行为的处罚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320209943000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对运输民用爆炸物品发生危险不报行为的处罚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320209982000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对未按资质等级从事爆破作业行为的处罚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320209983000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对营业性爆破作业单位跨区域作业未报告行为的处罚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320209357000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对违反标准实施爆破作业行为的处罚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320209368000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对未按规定设置民用爆炸物品专用仓库技术防范设施行为的处罚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320209424000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对违反制度致使民用爆炸物品丢失、被盗、被抢行为的处罚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320209425000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对民用爆炸物品丢失、被盗、被抢，未按照规定向当地公安机关报告或者故意隐瞒不报的处罚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320209695000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对非法转让、出借、转借、抵押、赠送民用爆炸物品行为的处罚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35" w:hRule="atLeast"/>
          <w:jc w:val="center"/>
        </w:trPr>
        <w:tc>
          <w:tcPr>
            <w:tcW w:w="51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val="en-US" w:eastAsia="zh-CN"/>
              </w:rPr>
              <w:t>6</w:t>
            </w:r>
          </w:p>
        </w:tc>
        <w:tc>
          <w:tcPr>
            <w:tcW w:w="1574"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对烟花爆竹从业单位治安防范制度落实情况的行政检查</w:t>
            </w:r>
          </w:p>
        </w:tc>
        <w:tc>
          <w:tcPr>
            <w:tcW w:w="57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苏州市公安局</w:t>
            </w:r>
          </w:p>
        </w:tc>
        <w:tc>
          <w:tcPr>
            <w:tcW w:w="546"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治安部门</w:t>
            </w:r>
          </w:p>
        </w:tc>
        <w:tc>
          <w:tcPr>
            <w:tcW w:w="84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烟花爆竹从业单位</w:t>
            </w:r>
          </w:p>
        </w:tc>
        <w:tc>
          <w:tcPr>
            <w:tcW w:w="4785"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《烟花爆竹安全管理条例》</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第二十二条　经由道路运输烟花爆竹的，应当经公安部门许可。</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经由铁路、水路、航空运输烟花爆竹的，依照铁路、水路、航空运输安全管理的有关法律、法规、规章的规定执行。</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第二十五条　经由道路运输烟花爆竹的，除应当遵守《中华人民共和国道路交通安全法》外，还应当遵守下列规定：</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（一）随车携带《烟花爆竹道路运输许可证》；</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（二）不得违反运输许可事项；</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（三）运输车辆悬挂或者安装符合国家标准的易燃易爆危险物品警示标志；</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（四）烟花爆竹的装载符合国家有关标准和规范；</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（五）装载烟花爆竹的车厢不得载人；</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（六）运输车辆限速行驶，途中经停必须有专人看守；</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（七）出现危险情况立即采取必要的措施，并报告当地公安部门。</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第二十六条　烟花爆竹运达目的地后，收货人应当在3日内将《烟花爆竹道路运输许可证》交回发证机关核销。</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第二十七条　禁止携带烟花爆竹搭乘公共交通工具。</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禁止邮寄烟花爆竹，禁止在托运的行李、包裹、邮件中夹带烟花爆竹。</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第三十二条　举办焰火晚会以及其他大型焰火燃放活动，应当按照举办的时间、地点、环境、活动性质、规模以及燃放烟花爆竹的种类、规格和数量，确定危险等级，实行分级管理。分级管理的具体办法，由国务院公安部门规定。</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第三十四条　焰火晚会以及其他大型焰火燃放活动燃放作业单位和作业人员，应当按照焰火燃放安全规程和经许可的燃放作业方案进行燃放作业。</w:t>
            </w:r>
          </w:p>
        </w:tc>
        <w:tc>
          <w:tcPr>
            <w:tcW w:w="80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现场检查</w:t>
            </w:r>
          </w:p>
        </w:tc>
        <w:tc>
          <w:tcPr>
            <w:tcW w:w="1017"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全年</w:t>
            </w: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320209874000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对未经许可经由道路运输烟花爆竹的或者非法生产、经营、运输烟花爆竹构成违反治安管理行为的处罚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320209265000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对生产、经营、使用黑火药、烟火药、引火线的企业，丢失黑火药、烟火药、引火线未及时向当地安全生产监督管理部门和公安部门报告的处罚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320209266000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对违反许可事项经道路运输烟花爆竹行为的处罚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320209267000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对未携带许可证经道路运输烟花爆竹行为的处罚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320209403000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对烟花爆竹道路运输车辆未按规定悬挂、安装警示标志行为的处罚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320209404000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对未按规定装载烟花爆竹行为的处罚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320209332000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对装载烟花爆竹的车厢载人行为的处罚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320209333000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对烟花爆竹运输车辆超速行驶行为的处罚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320209334000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对烟花爆竹运输车辆经停无人看守行为的处罚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320209335000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对未按规定核销烟花爆竹道路运输许可证行为的处罚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320209013000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对携带烟花爆竹搭乘公共交通工具，或者邮寄烟花爆竹以及在托运的行李、包裹、邮件中夹带烟花爆竹的处罚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320209336000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对非法举办大型焰火燃放活动行为的处罚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320209337000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对违规从事燃放作业行为的处罚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bottom w:val="single" w:color="auto" w:sz="4" w:space="0"/>
              <w:right w:val="single" w:color="auto" w:sz="4" w:space="0"/>
            </w:tcBorders>
            <w:vAlign w:val="center"/>
          </w:tcPr>
          <w:p>
            <w:pPr>
              <w:jc w:val="left"/>
            </w:pPr>
          </w:p>
        </w:tc>
        <w:tc>
          <w:tcPr>
            <w:tcW w:w="1574" w:type="dxa"/>
            <w:vMerge w:val="continue"/>
            <w:tcBorders>
              <w:left w:val="single" w:color="auto" w:sz="4" w:space="0"/>
              <w:bottom w:val="single" w:color="auto" w:sz="4" w:space="0"/>
              <w:right w:val="single" w:color="auto" w:sz="4" w:space="0"/>
            </w:tcBorders>
            <w:vAlign w:val="center"/>
          </w:tcPr>
          <w:p>
            <w:pPr>
              <w:jc w:val="left"/>
            </w:pPr>
          </w:p>
        </w:tc>
        <w:tc>
          <w:tcPr>
            <w:tcW w:w="570" w:type="dxa"/>
            <w:vMerge w:val="continue"/>
            <w:tcBorders>
              <w:left w:val="single" w:color="auto" w:sz="4" w:space="0"/>
              <w:bottom w:val="single" w:color="auto" w:sz="4" w:space="0"/>
              <w:right w:val="single" w:color="auto" w:sz="4" w:space="0"/>
            </w:tcBorders>
            <w:vAlign w:val="center"/>
          </w:tcPr>
          <w:p>
            <w:pPr>
              <w:jc w:val="left"/>
            </w:pPr>
          </w:p>
        </w:tc>
        <w:tc>
          <w:tcPr>
            <w:tcW w:w="546" w:type="dxa"/>
            <w:vMerge w:val="continue"/>
            <w:tcBorders>
              <w:left w:val="single" w:color="auto" w:sz="4" w:space="0"/>
              <w:bottom w:val="single" w:color="auto" w:sz="4" w:space="0"/>
              <w:right w:val="single" w:color="auto" w:sz="4" w:space="0"/>
            </w:tcBorders>
            <w:vAlign w:val="center"/>
          </w:tcPr>
          <w:p>
            <w:pPr>
              <w:jc w:val="left"/>
            </w:pPr>
          </w:p>
        </w:tc>
        <w:tc>
          <w:tcPr>
            <w:tcW w:w="840" w:type="dxa"/>
            <w:vMerge w:val="continue"/>
            <w:tcBorders>
              <w:left w:val="single" w:color="auto" w:sz="4" w:space="0"/>
              <w:bottom w:val="single" w:color="auto" w:sz="4" w:space="0"/>
              <w:right w:val="single" w:color="auto" w:sz="4" w:space="0"/>
            </w:tcBorders>
            <w:vAlign w:val="center"/>
          </w:tcPr>
          <w:p>
            <w:pPr>
              <w:jc w:val="left"/>
            </w:pPr>
          </w:p>
        </w:tc>
        <w:tc>
          <w:tcPr>
            <w:tcW w:w="4785" w:type="dxa"/>
            <w:vMerge w:val="continue"/>
            <w:tcBorders>
              <w:left w:val="single" w:color="auto" w:sz="4" w:space="0"/>
              <w:bottom w:val="single" w:color="auto" w:sz="4" w:space="0"/>
              <w:right w:val="single" w:color="auto" w:sz="4" w:space="0"/>
            </w:tcBorders>
            <w:vAlign w:val="center"/>
          </w:tcPr>
          <w:p>
            <w:pPr>
              <w:jc w:val="left"/>
            </w:pPr>
          </w:p>
        </w:tc>
        <w:tc>
          <w:tcPr>
            <w:tcW w:w="800" w:type="dxa"/>
            <w:vMerge w:val="continue"/>
            <w:tcBorders>
              <w:left w:val="single" w:color="auto" w:sz="4" w:space="0"/>
              <w:bottom w:val="single" w:color="auto" w:sz="4" w:space="0"/>
              <w:right w:val="single" w:color="auto" w:sz="4" w:space="0"/>
            </w:tcBorders>
            <w:vAlign w:val="center"/>
          </w:tcPr>
          <w:p>
            <w:pPr>
              <w:jc w:val="left"/>
            </w:pPr>
          </w:p>
        </w:tc>
        <w:tc>
          <w:tcPr>
            <w:tcW w:w="1017" w:type="dxa"/>
            <w:vMerge w:val="continue"/>
            <w:tcBorders>
              <w:left w:val="single" w:color="auto" w:sz="4" w:space="0"/>
              <w:bottom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320209305000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对违规燃放烟花爆竹行为的处罚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val="en-US" w:eastAsia="zh-CN"/>
              </w:rPr>
              <w:t>7</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574"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对剧毒、易制爆危险化学品单位治安防范制度落实情况的行政检查</w:t>
            </w:r>
          </w:p>
        </w:tc>
        <w:tc>
          <w:tcPr>
            <w:tcW w:w="57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苏州市公安局</w:t>
            </w:r>
          </w:p>
        </w:tc>
        <w:tc>
          <w:tcPr>
            <w:tcW w:w="546"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治安部门</w:t>
            </w:r>
          </w:p>
        </w:tc>
        <w:tc>
          <w:tcPr>
            <w:tcW w:w="84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危险化学品从业单位</w:t>
            </w:r>
          </w:p>
        </w:tc>
        <w:tc>
          <w:tcPr>
            <w:tcW w:w="4785"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《危险化学品安全管理条例》</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第二十三条　生产、储存剧毒化学品或者国务院公安部门规定的可用于制造爆炸物品的危险化学品（以下简称易制爆危险化学品）的单位，应当如实记录其生产、储存的剧毒化学品、易制爆危险化学品的数量、流向，并采取必要的安全防范措施，防止剧毒化学品、易制爆危险化学品丢失或者被盗；发现剧毒化学品、易制爆危险化学品丢失或者被盗的，应当立即向当地公安机关报告。</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生产、储存剧毒化学品、易制爆危险化学品的单位，应当设置治安保卫机构，配备专职治安保卫人员。</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第二十六条　危险化学品专用仓库应当符合国家标准、行业标准的要求，并设置明显的标志。储存剧毒化学品、易制爆危险化学品的专用仓库，应当按照国家有关规定设置相应的技术防范设施。</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储存危险化学品的单位应当对其危险化学品专用仓库的安全设施、设备定期进行检测、检验。</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第四十条　危险化学品生产企业、经营企业销售剧毒化学品、易制爆危险化学品，应当查验本条例第三十八条第一款、第二款规定的相关许可证件或者证明文件，不得向不具有相关许可证件或者证明文件的单位销售剧毒化学品、易制爆危险化学品。对持剧毒化学品购买许可证购买剧毒化学品的，应当按照许可证载明的品种、数量销售。</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禁止向个人销售剧毒化学品（属于剧毒化学品的农药除外）和易制爆危险化学品。</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第四十一条　危险化学品生产企业、经营企业销售剧毒化学品、易制爆危险化学品，应当如实记录购买单位的名称、地址、经办人的姓名、身份证号码以及所购买的剧毒化学品、易制爆危险化学品的品种、数量、用途。销售记录以及经办人的身份证明复印件、相关许可证件复印件或者证明文件的保存期限不得少于1年。</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剧毒化学品、易制爆危险化学品的销售企业、购买单位应当在销售、购买后5日内，将所销售、购买的剧毒化学品、易制爆危险化学品的品种、数量以及流向信息报所在地县级人民政府公安机关备案，并输入计算机系统。</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第四十二条　使用剧毒化学品、易制爆危险化学品的单位不得出借、转让其购买的剧毒化学品、易制爆危险化学品；因转产、停产、搬迁、关闭等确需转让的，应当向具有本条例第三十八条第一款、第二款规定的相关许可证件或者证明文件的单位转让，并在转让后将有关情况及时向所在地县级人民政府公安机关报告。</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现场检查</w:t>
            </w:r>
          </w:p>
        </w:tc>
        <w:tc>
          <w:tcPr>
            <w:tcW w:w="1017"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全年</w:t>
            </w: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320209776000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对剧毒化学品、易制爆危险化学品专用仓库未按规定设置技术防范设施行为的处罚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320209825000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对未如实记录剧毒化学品、易制爆危险化学品数量、流向行为的处罚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320209826000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对储存剧毒化学品未备案行为的处罚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320209804000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对未记录剧毒化学品、易制爆危险化学品购买信息行为的处罚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320209808000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对未按规定期限保存剧毒化学品、易制爆危险化学品销售记录、材料行为的处罚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320209809000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对未按规定期限备案剧毒化学品、易制爆危险化学品销售、购买信息行为的处罚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320209998000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对转让剧毒化学品、易制爆危险化学品不报行为的处罚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3202GA009000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对转产、停产、停业、解散未备案处置方案行为的处罚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320209848000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对单位未经许可购买剧毒化学品、易制爆危险化学品行为的处罚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320209299000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对个人非法购买剧毒化学品、易制爆危险化学品行为的处罚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320209397000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对单位非法出借、转让剧毒化学品、易制爆危险化学品行为的处罚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320209398000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对单位伪造、变造、出租、出借、转让剧毒化学品许可证件行为的处罚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bottom w:val="single" w:color="auto" w:sz="4" w:space="0"/>
              <w:right w:val="single" w:color="auto" w:sz="4" w:space="0"/>
            </w:tcBorders>
            <w:vAlign w:val="center"/>
          </w:tcPr>
          <w:p>
            <w:pPr>
              <w:jc w:val="left"/>
            </w:pPr>
          </w:p>
        </w:tc>
        <w:tc>
          <w:tcPr>
            <w:tcW w:w="1574" w:type="dxa"/>
            <w:vMerge w:val="continue"/>
            <w:tcBorders>
              <w:left w:val="single" w:color="auto" w:sz="4" w:space="0"/>
              <w:bottom w:val="single" w:color="auto" w:sz="4" w:space="0"/>
              <w:right w:val="single" w:color="auto" w:sz="4" w:space="0"/>
            </w:tcBorders>
            <w:vAlign w:val="center"/>
          </w:tcPr>
          <w:p>
            <w:pPr>
              <w:jc w:val="left"/>
            </w:pPr>
          </w:p>
        </w:tc>
        <w:tc>
          <w:tcPr>
            <w:tcW w:w="570" w:type="dxa"/>
            <w:vMerge w:val="continue"/>
            <w:tcBorders>
              <w:left w:val="single" w:color="auto" w:sz="4" w:space="0"/>
              <w:bottom w:val="single" w:color="auto" w:sz="4" w:space="0"/>
              <w:right w:val="single" w:color="auto" w:sz="4" w:space="0"/>
            </w:tcBorders>
            <w:vAlign w:val="center"/>
          </w:tcPr>
          <w:p>
            <w:pPr>
              <w:jc w:val="left"/>
            </w:pPr>
          </w:p>
        </w:tc>
        <w:tc>
          <w:tcPr>
            <w:tcW w:w="546" w:type="dxa"/>
            <w:vMerge w:val="continue"/>
            <w:tcBorders>
              <w:left w:val="single" w:color="auto" w:sz="4" w:space="0"/>
              <w:bottom w:val="single" w:color="auto" w:sz="4" w:space="0"/>
              <w:right w:val="single" w:color="auto" w:sz="4" w:space="0"/>
            </w:tcBorders>
            <w:vAlign w:val="center"/>
          </w:tcPr>
          <w:p>
            <w:pPr>
              <w:jc w:val="left"/>
            </w:pPr>
          </w:p>
        </w:tc>
        <w:tc>
          <w:tcPr>
            <w:tcW w:w="840" w:type="dxa"/>
            <w:vMerge w:val="continue"/>
            <w:tcBorders>
              <w:left w:val="single" w:color="auto" w:sz="4" w:space="0"/>
              <w:bottom w:val="single" w:color="auto" w:sz="4" w:space="0"/>
              <w:right w:val="single" w:color="auto" w:sz="4" w:space="0"/>
            </w:tcBorders>
            <w:vAlign w:val="center"/>
          </w:tcPr>
          <w:p>
            <w:pPr>
              <w:jc w:val="left"/>
            </w:pPr>
          </w:p>
        </w:tc>
        <w:tc>
          <w:tcPr>
            <w:tcW w:w="4785" w:type="dxa"/>
            <w:vMerge w:val="continue"/>
            <w:tcBorders>
              <w:left w:val="single" w:color="auto" w:sz="4" w:space="0"/>
              <w:bottom w:val="single" w:color="auto" w:sz="4" w:space="0"/>
              <w:right w:val="single" w:color="auto" w:sz="4" w:space="0"/>
            </w:tcBorders>
            <w:vAlign w:val="center"/>
          </w:tcPr>
          <w:p>
            <w:pPr>
              <w:jc w:val="left"/>
            </w:pPr>
          </w:p>
        </w:tc>
        <w:tc>
          <w:tcPr>
            <w:tcW w:w="800" w:type="dxa"/>
            <w:vMerge w:val="continue"/>
            <w:tcBorders>
              <w:left w:val="single" w:color="auto" w:sz="4" w:space="0"/>
              <w:bottom w:val="single" w:color="auto" w:sz="4" w:space="0"/>
              <w:right w:val="single" w:color="auto" w:sz="4" w:space="0"/>
            </w:tcBorders>
            <w:vAlign w:val="center"/>
          </w:tcPr>
          <w:p>
            <w:pPr>
              <w:jc w:val="left"/>
            </w:pPr>
          </w:p>
        </w:tc>
        <w:tc>
          <w:tcPr>
            <w:tcW w:w="1017" w:type="dxa"/>
            <w:vMerge w:val="continue"/>
            <w:tcBorders>
              <w:left w:val="single" w:color="auto" w:sz="4" w:space="0"/>
              <w:bottom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320209014000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对单位使用伪造、变造的剧毒化学品许可证件行为的处罚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restart"/>
            <w:tcBorders>
              <w:top w:val="single" w:color="auto" w:sz="4" w:space="0"/>
              <w:left w:val="single" w:color="auto" w:sz="4" w:space="0"/>
              <w:right w:val="single" w:color="auto" w:sz="4" w:space="0"/>
            </w:tcBorders>
            <w:vAlign w:val="center"/>
          </w:tcPr>
          <w:p>
            <w:pPr>
              <w:jc w:val="left"/>
              <w:rPr>
                <w:rFonts w:hint="eastAsia" w:eastAsia="宋体"/>
                <w:lang w:eastAsia="zh-CN"/>
              </w:rPr>
            </w:pPr>
            <w:r>
              <w:rPr>
                <w:rFonts w:hint="eastAsia"/>
                <w:lang w:val="en-US" w:eastAsia="zh-CN"/>
              </w:rPr>
              <w:t>8</w:t>
            </w:r>
          </w:p>
          <w:p>
            <w:pPr>
              <w:jc w:val="left"/>
            </w:pPr>
          </w:p>
        </w:tc>
        <w:tc>
          <w:tcPr>
            <w:tcW w:w="1574"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对养犬情况的 检查</w:t>
            </w:r>
          </w:p>
        </w:tc>
        <w:tc>
          <w:tcPr>
            <w:tcW w:w="57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苏州市公安局</w:t>
            </w:r>
          </w:p>
        </w:tc>
        <w:tc>
          <w:tcPr>
            <w:tcW w:w="546"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治安部门</w:t>
            </w:r>
          </w:p>
        </w:tc>
        <w:tc>
          <w:tcPr>
            <w:tcW w:w="84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公共场所</w:t>
            </w:r>
          </w:p>
        </w:tc>
        <w:tc>
          <w:tcPr>
            <w:tcW w:w="4785"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《苏州市养犬管理条例》</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第二条  本市行政区域内犬只的免疫、登记、饲养、收容、领养、经营以及相关管理活动，适用本条例。</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bookmarkStart w:id="0" w:name="OLE_LINK1"/>
            <w:r>
              <w:rPr>
                <w:rFonts w:hint="eastAsia" w:ascii="Times New Roman" w:hAnsi="Times New Roman" w:eastAsia="方正仿宋_GBK"/>
                <w:kern w:val="0"/>
                <w:szCs w:val="21"/>
                <w:shd w:val="clear" w:color="auto" w:fill="FFFFFF"/>
              </w:rPr>
              <w:t>第五条</w:t>
            </w:r>
            <w:bookmarkEnd w:id="0"/>
            <w:r>
              <w:rPr>
                <w:rFonts w:hint="eastAsia" w:ascii="Times New Roman" w:hAnsi="Times New Roman" w:eastAsia="方正仿宋_GBK"/>
                <w:kern w:val="0"/>
                <w:szCs w:val="21"/>
                <w:shd w:val="clear" w:color="auto" w:fill="FFFFFF"/>
              </w:rPr>
              <w:t xml:space="preserve">  公安机关是养犬管理工作的主管部门，全面负责养犬的监督管理工作，具体包括养犬登记，捕捉走失、无主犬只，收容犬只，扑灭狂犬，依法查处违法养犬行为等工作。</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现场检查</w:t>
            </w:r>
          </w:p>
        </w:tc>
        <w:tc>
          <w:tcPr>
            <w:tcW w:w="1017" w:type="dxa"/>
            <w:vMerge w:val="restart"/>
            <w:tcBorders>
              <w:top w:val="single" w:color="auto" w:sz="4" w:space="0"/>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全年</w:t>
            </w: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3202SZ027000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对个人饲养大型犬、烈性犬的处罚</w:t>
            </w: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3202SZ029000</w:t>
            </w: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对不按规定携犬外出、不按规定进入禁止犬只进入场所的处罚</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3"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tcBorders>
              <w:left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3202SZ030000</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对未有效约束犬只，导致犬只伤人的处罚</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3202SZ031000</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对遗弃或者虐待犬只、拒不处理超限犬只的处罚</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3202SZ032000</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对犬只经营扰民的处罚</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right w:val="single" w:color="auto" w:sz="4" w:space="0"/>
            </w:tcBorders>
            <w:vAlign w:val="center"/>
          </w:tcPr>
          <w:p>
            <w:pPr>
              <w:jc w:val="left"/>
            </w:pPr>
          </w:p>
        </w:tc>
        <w:tc>
          <w:tcPr>
            <w:tcW w:w="1574" w:type="dxa"/>
            <w:vMerge w:val="continue"/>
            <w:tcBorders>
              <w:left w:val="single" w:color="auto" w:sz="4" w:space="0"/>
              <w:right w:val="single" w:color="auto" w:sz="4" w:space="0"/>
            </w:tcBorders>
            <w:vAlign w:val="center"/>
          </w:tcPr>
          <w:p>
            <w:pPr>
              <w:jc w:val="left"/>
            </w:pPr>
          </w:p>
        </w:tc>
        <w:tc>
          <w:tcPr>
            <w:tcW w:w="570" w:type="dxa"/>
            <w:vMerge w:val="continue"/>
            <w:tcBorders>
              <w:left w:val="single" w:color="auto" w:sz="4" w:space="0"/>
              <w:right w:val="single" w:color="auto" w:sz="4" w:space="0"/>
            </w:tcBorders>
            <w:vAlign w:val="center"/>
          </w:tcPr>
          <w:p>
            <w:pPr>
              <w:jc w:val="left"/>
            </w:pPr>
          </w:p>
        </w:tc>
        <w:tc>
          <w:tcPr>
            <w:tcW w:w="546" w:type="dxa"/>
            <w:vMerge w:val="continue"/>
            <w:tcBorders>
              <w:left w:val="single" w:color="auto" w:sz="4" w:space="0"/>
              <w:right w:val="single" w:color="auto" w:sz="4" w:space="0"/>
            </w:tcBorders>
            <w:vAlign w:val="center"/>
          </w:tcPr>
          <w:p>
            <w:pPr>
              <w:jc w:val="left"/>
            </w:pPr>
          </w:p>
        </w:tc>
        <w:tc>
          <w:tcPr>
            <w:tcW w:w="840" w:type="dxa"/>
            <w:vMerge w:val="continue"/>
            <w:tcBorders>
              <w:left w:val="single" w:color="auto" w:sz="4" w:space="0"/>
              <w:right w:val="single" w:color="auto" w:sz="4" w:space="0"/>
            </w:tcBorders>
            <w:vAlign w:val="center"/>
          </w:tcPr>
          <w:p>
            <w:pPr>
              <w:jc w:val="left"/>
            </w:pPr>
          </w:p>
        </w:tc>
        <w:tc>
          <w:tcPr>
            <w:tcW w:w="4785" w:type="dxa"/>
            <w:vMerge w:val="continue"/>
            <w:tcBorders>
              <w:left w:val="single" w:color="auto" w:sz="4" w:space="0"/>
              <w:right w:val="single" w:color="auto" w:sz="4" w:space="0"/>
            </w:tcBorders>
            <w:vAlign w:val="center"/>
          </w:tcPr>
          <w:p>
            <w:pPr>
              <w:jc w:val="left"/>
            </w:pPr>
          </w:p>
        </w:tc>
        <w:tc>
          <w:tcPr>
            <w:tcW w:w="800" w:type="dxa"/>
            <w:vMerge w:val="continue"/>
            <w:tcBorders>
              <w:left w:val="single" w:color="auto" w:sz="4" w:space="0"/>
              <w:right w:val="single" w:color="auto" w:sz="4" w:space="0"/>
            </w:tcBorders>
            <w:vAlign w:val="center"/>
          </w:tcPr>
          <w:p>
            <w:pPr>
              <w:jc w:val="left"/>
            </w:pPr>
          </w:p>
        </w:tc>
        <w:tc>
          <w:tcPr>
            <w:tcW w:w="1017" w:type="dxa"/>
            <w:vMerge w:val="continue"/>
            <w:tcBorders>
              <w:left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3202SZ026000</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对养犬未经登记的、未办理养犬延续、变更手续的处罚</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0" w:type="dxa"/>
            <w:vMerge w:val="continue"/>
            <w:tcBorders>
              <w:left w:val="single" w:color="auto" w:sz="4" w:space="0"/>
              <w:bottom w:val="single" w:color="auto" w:sz="4" w:space="0"/>
              <w:right w:val="single" w:color="auto" w:sz="4" w:space="0"/>
            </w:tcBorders>
            <w:vAlign w:val="center"/>
          </w:tcPr>
          <w:p>
            <w:pPr>
              <w:jc w:val="left"/>
            </w:pPr>
          </w:p>
        </w:tc>
        <w:tc>
          <w:tcPr>
            <w:tcW w:w="1574" w:type="dxa"/>
            <w:vMerge w:val="continue"/>
            <w:tcBorders>
              <w:left w:val="single" w:color="auto" w:sz="4" w:space="0"/>
              <w:bottom w:val="single" w:color="auto" w:sz="4" w:space="0"/>
              <w:right w:val="single" w:color="auto" w:sz="4" w:space="0"/>
            </w:tcBorders>
            <w:vAlign w:val="center"/>
          </w:tcPr>
          <w:p>
            <w:pPr>
              <w:jc w:val="left"/>
            </w:pPr>
          </w:p>
        </w:tc>
        <w:tc>
          <w:tcPr>
            <w:tcW w:w="570" w:type="dxa"/>
            <w:vMerge w:val="continue"/>
            <w:tcBorders>
              <w:left w:val="single" w:color="auto" w:sz="4" w:space="0"/>
              <w:bottom w:val="single" w:color="auto" w:sz="4" w:space="0"/>
              <w:right w:val="single" w:color="auto" w:sz="4" w:space="0"/>
            </w:tcBorders>
            <w:vAlign w:val="center"/>
          </w:tcPr>
          <w:p>
            <w:pPr>
              <w:jc w:val="left"/>
            </w:pPr>
          </w:p>
        </w:tc>
        <w:tc>
          <w:tcPr>
            <w:tcW w:w="546" w:type="dxa"/>
            <w:vMerge w:val="continue"/>
            <w:tcBorders>
              <w:left w:val="single" w:color="auto" w:sz="4" w:space="0"/>
              <w:bottom w:val="single" w:color="auto" w:sz="4" w:space="0"/>
              <w:right w:val="single" w:color="auto" w:sz="4" w:space="0"/>
            </w:tcBorders>
            <w:vAlign w:val="center"/>
          </w:tcPr>
          <w:p>
            <w:pPr>
              <w:jc w:val="left"/>
            </w:pPr>
          </w:p>
        </w:tc>
        <w:tc>
          <w:tcPr>
            <w:tcW w:w="840" w:type="dxa"/>
            <w:vMerge w:val="continue"/>
            <w:tcBorders>
              <w:left w:val="single" w:color="auto" w:sz="4" w:space="0"/>
              <w:bottom w:val="single" w:color="auto" w:sz="4" w:space="0"/>
              <w:right w:val="single" w:color="auto" w:sz="4" w:space="0"/>
            </w:tcBorders>
            <w:vAlign w:val="center"/>
          </w:tcPr>
          <w:p>
            <w:pPr>
              <w:jc w:val="left"/>
            </w:pPr>
          </w:p>
        </w:tc>
        <w:tc>
          <w:tcPr>
            <w:tcW w:w="4785" w:type="dxa"/>
            <w:vMerge w:val="continue"/>
            <w:tcBorders>
              <w:left w:val="single" w:color="auto" w:sz="4" w:space="0"/>
              <w:bottom w:val="single" w:color="auto" w:sz="4" w:space="0"/>
              <w:right w:val="single" w:color="auto" w:sz="4" w:space="0"/>
            </w:tcBorders>
            <w:vAlign w:val="center"/>
          </w:tcPr>
          <w:p>
            <w:pPr>
              <w:jc w:val="left"/>
            </w:pPr>
          </w:p>
        </w:tc>
        <w:tc>
          <w:tcPr>
            <w:tcW w:w="800" w:type="dxa"/>
            <w:vMerge w:val="continue"/>
            <w:tcBorders>
              <w:left w:val="single" w:color="auto" w:sz="4" w:space="0"/>
              <w:bottom w:val="single" w:color="auto" w:sz="4" w:space="0"/>
              <w:right w:val="single" w:color="auto" w:sz="4" w:space="0"/>
            </w:tcBorders>
            <w:vAlign w:val="center"/>
          </w:tcPr>
          <w:p>
            <w:pPr>
              <w:jc w:val="left"/>
            </w:pPr>
          </w:p>
        </w:tc>
        <w:tc>
          <w:tcPr>
            <w:tcW w:w="1017" w:type="dxa"/>
            <w:vMerge w:val="continue"/>
            <w:tcBorders>
              <w:left w:val="single" w:color="auto" w:sz="4" w:space="0"/>
              <w:bottom w:val="single" w:color="auto" w:sz="4" w:space="0"/>
              <w:right w:val="single" w:color="auto" w:sz="4" w:space="0"/>
            </w:tcBorders>
            <w:vAlign w:val="center"/>
          </w:tcPr>
          <w:p>
            <w:pPr>
              <w:jc w:val="left"/>
            </w:pPr>
          </w:p>
        </w:tc>
        <w:tc>
          <w:tcPr>
            <w:tcW w:w="1225"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3202SZ028000</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2544" w:type="dxa"/>
            <w:tcBorders>
              <w:top w:val="single" w:color="auto" w:sz="4" w:space="0"/>
              <w:left w:val="single" w:color="auto" w:sz="4" w:space="0"/>
              <w:bottom w:val="single" w:color="auto" w:sz="4" w:space="0"/>
              <w:right w:val="single" w:color="auto" w:sz="4" w:space="0"/>
            </w:tcBorders>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对养犬扰民的处罚</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83" w:type="dxa"/>
            <w:tcBorders>
              <w:top w:val="single" w:color="auto" w:sz="4" w:space="0"/>
              <w:left w:val="single" w:color="auto" w:sz="4" w:space="0"/>
              <w:bottom w:val="single" w:color="auto" w:sz="4" w:space="0"/>
              <w:right w:val="single" w:color="auto" w:sz="4" w:space="0"/>
            </w:tcBorders>
            <w:vAlign w:val="center"/>
          </w:tcPr>
          <w:p>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2" w:hRule="atLeast"/>
          <w:jc w:val="center"/>
        </w:trPr>
        <w:tc>
          <w:tcPr>
            <w:tcW w:w="510" w:type="dxa"/>
            <w:vMerge w:val="restart"/>
            <w:vAlign w:val="center"/>
          </w:tcPr>
          <w:p>
            <w:pPr>
              <w:jc w:val="left"/>
              <w:rPr>
                <w:rFonts w:hint="default" w:ascii="Times New Roman" w:hAnsi="Times New Roman" w:eastAsia="宋体"/>
                <w:kern w:val="0"/>
                <w:sz w:val="18"/>
                <w:szCs w:val="18"/>
                <w:lang w:val="en-US" w:eastAsia="zh-CN"/>
              </w:rPr>
            </w:pPr>
            <w:r>
              <w:rPr>
                <w:rFonts w:hint="eastAsia" w:ascii="Times New Roman" w:hAnsi="Times New Roman"/>
                <w:kern w:val="0"/>
                <w:sz w:val="18"/>
                <w:szCs w:val="18"/>
                <w:lang w:val="en-US" w:eastAsia="zh-CN"/>
              </w:rPr>
              <w:t>9</w:t>
            </w:r>
          </w:p>
        </w:tc>
        <w:tc>
          <w:tcPr>
            <w:tcW w:w="1574" w:type="dxa"/>
            <w:vMerge w:val="restart"/>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对反恐防范重点目标的行政检查</w:t>
            </w:r>
          </w:p>
        </w:tc>
        <w:tc>
          <w:tcPr>
            <w:tcW w:w="570" w:type="dxa"/>
            <w:vMerge w:val="restart"/>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苏州市公安局</w:t>
            </w:r>
          </w:p>
        </w:tc>
        <w:tc>
          <w:tcPr>
            <w:tcW w:w="546" w:type="dxa"/>
            <w:vMerge w:val="restart"/>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lang w:eastAsia="zh-CN"/>
              </w:rPr>
              <w:t>反恐</w:t>
            </w:r>
            <w:r>
              <w:rPr>
                <w:rFonts w:hint="eastAsia" w:ascii="Times New Roman" w:hAnsi="Times New Roman" w:eastAsia="方正仿宋_GBK"/>
                <w:kern w:val="0"/>
                <w:szCs w:val="21"/>
                <w:shd w:val="clear" w:color="auto" w:fill="FFFFFF"/>
              </w:rPr>
              <w:t>部门</w:t>
            </w:r>
          </w:p>
        </w:tc>
        <w:tc>
          <w:tcPr>
            <w:tcW w:w="840" w:type="dxa"/>
            <w:vMerge w:val="restart"/>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lang w:val="en-US" w:eastAsia="zh-CN"/>
              </w:rPr>
              <w:t>反恐目标</w:t>
            </w:r>
          </w:p>
        </w:tc>
        <w:tc>
          <w:tcPr>
            <w:tcW w:w="4785" w:type="dxa"/>
            <w:vMerge w:val="restart"/>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《中华人民共和国反恐怖主义法》</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第三十一条 公安机关应当会同有关部门，将遭受恐怖袭击的可能性较大以及遭受恐怖袭击可能造成重大的人身伤亡、财产损失或者社会影响的单位、场所、活动、设施等确定为防范恐怖袭击的重点目标，报本级反恐怖主义工作领导机构备案。</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第三十二条 重点目标的管理单位应当履行下列职责：</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（一）制定防范和应对处置恐怖活动的预案、措施，定期进行培训和演练；</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（二）建立反恐怖主义工作专项经费保障制度，配备、更新防范和处置设备、设施；</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（三）指定相关机构或者落实责任人员，明确岗位职责；</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（四）实行风险评估，实时监测安全威胁，完善内部安全管理；</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五）定期向公安机关和有关部门报告防范措施落实情况。重点目标的管理单位应当根据城乡规划、相关标准和实际需要，对重点目标同步设计、同步建设、同步运行符合本法第二十七条规定的技防、物防设备、设施。重点目标的管理单位应当建立公共安全视频图像信息系统值班监看、信息保存使用、运行维护等管理制度，保障相关系统正常运行。采集的视频图像信息保存期限不得少于九十日。对重点目标以外的涉及公共安全的其他单位、场所、活动、设施，其主管部门和管理单位应当依照法律、行政法规规定，建立健全安全管理制度，落实安全责任。</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第三十三条</w:t>
            </w:r>
            <w:r>
              <w:rPr>
                <w:rFonts w:hint="eastAsia" w:ascii="Times New Roman" w:hAnsi="Times New Roman" w:eastAsia="方正仿宋_GBK"/>
                <w:kern w:val="0"/>
                <w:szCs w:val="21"/>
                <w:shd w:val="clear" w:color="auto" w:fill="FFFFFF"/>
                <w:lang w:val="en-US" w:eastAsia="zh-CN"/>
              </w:rPr>
              <w:t xml:space="preserve"> </w:t>
            </w:r>
            <w:r>
              <w:rPr>
                <w:rFonts w:hint="eastAsia" w:ascii="Times New Roman" w:hAnsi="Times New Roman" w:eastAsia="方正仿宋_GBK"/>
                <w:kern w:val="0"/>
                <w:szCs w:val="21"/>
                <w:shd w:val="clear" w:color="auto" w:fill="FFFFFF"/>
                <w:lang w:eastAsia="zh-CN"/>
              </w:rPr>
              <w:t xml:space="preserve"> 重点目标的管理单位应当对重要岗位人员进行安全背景审查。对有不适合情形的人员，应当调整工作岗位，并将有关情况通报公安机关。</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 xml:space="preserve">第三十四条 </w:t>
            </w:r>
            <w:r>
              <w:rPr>
                <w:rFonts w:hint="eastAsia" w:ascii="Times New Roman" w:hAnsi="Times New Roman" w:eastAsia="方正仿宋_GBK"/>
                <w:kern w:val="0"/>
                <w:szCs w:val="21"/>
                <w:shd w:val="clear" w:color="auto" w:fill="FFFFFF"/>
                <w:lang w:val="en-US" w:eastAsia="zh-CN"/>
              </w:rPr>
              <w:t xml:space="preserve"> </w:t>
            </w:r>
            <w:r>
              <w:rPr>
                <w:rFonts w:hint="eastAsia" w:ascii="Times New Roman" w:hAnsi="Times New Roman" w:eastAsia="方正仿宋_GBK"/>
                <w:kern w:val="0"/>
                <w:szCs w:val="21"/>
                <w:shd w:val="clear" w:color="auto" w:fill="FFFFFF"/>
                <w:lang w:eastAsia="zh-CN"/>
              </w:rPr>
              <w:t>大型活动承办单位以及重点目标的管理单位应当依照规定，对进入大型活动场所、机场、火车站、码头、城市轨道交通站、公路长途客运站、口岸等重点目标的人员、物品和交通工具进行安全检查。发现违禁品和管制物品，应当予以扣留并立即向公安机关报告；发现涉嫌违法犯罪人员，应当立即向公安机关报告。</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第三十五条</w:t>
            </w:r>
            <w:r>
              <w:rPr>
                <w:rFonts w:hint="eastAsia" w:ascii="Times New Roman" w:hAnsi="Times New Roman" w:eastAsia="方正仿宋_GBK"/>
                <w:kern w:val="0"/>
                <w:szCs w:val="21"/>
                <w:shd w:val="clear" w:color="auto" w:fill="FFFFFF"/>
                <w:lang w:val="en-US" w:eastAsia="zh-CN"/>
              </w:rPr>
              <w:t xml:space="preserve"> </w:t>
            </w:r>
            <w:r>
              <w:rPr>
                <w:rFonts w:hint="eastAsia" w:ascii="Times New Roman" w:hAnsi="Times New Roman" w:eastAsia="方正仿宋_GBK"/>
                <w:kern w:val="0"/>
                <w:szCs w:val="21"/>
                <w:shd w:val="clear" w:color="auto" w:fill="FFFFFF"/>
                <w:lang w:eastAsia="zh-CN"/>
              </w:rPr>
              <w:t xml:space="preserve"> 对航空器、列车、船舶、城市轨道车辆、公共电汽车等公共交通运输工具，营运单位应当依照规定配备安保人员和相应设备、设施，加强安全检查和保卫工作。</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第三十六条 公安机关和有关部门应当掌握重点目标的基础信息和重要动态，指导、监督重点目标的管理单位履行防范恐怖袭击的各项职责。公安机关、中国人民武装警察部队应当依照有关规定对重点目标进行警戒、巡逻、检查。</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第八十八条 防范恐怖袭击重点目标的管理、营运单位违反本法规定，有下列情形之一的，由公安机关给予警告，并责令改正；拒不改正的，处十万元以下罚款，并对其直接负责的主管人员和其他直接责任人员处一万元以下罚款:</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（一）未制定防范和应对处置恐怖活动的预案、措施的；</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（二）未建立反恐怖主义工作专项经费保障制度，或者未配备防范和处置设备、设施的；</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（三）未落实工作机构或者责任人员的；</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（四）未对重要岗位人员进行安全背景审查，或者未将有不适合情形的人员调整工作岗位的；</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lang w:eastAsia="zh-CN"/>
              </w:rPr>
            </w:pPr>
            <w:r>
              <w:rPr>
                <w:rFonts w:hint="eastAsia" w:ascii="Times New Roman" w:hAnsi="Times New Roman" w:eastAsia="方正仿宋_GBK"/>
                <w:kern w:val="0"/>
                <w:szCs w:val="21"/>
                <w:shd w:val="clear" w:color="auto" w:fill="FFFFFF"/>
                <w:lang w:eastAsia="zh-CN"/>
              </w:rPr>
              <w:t>（五）对公共交通运输工具未依照规定配备安保人员和相应设备、设施的；</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lang w:eastAsia="zh-CN"/>
              </w:rPr>
              <w:t>（六）未建立公共安全视频图像信息系统值班监看、信息保存使用、运行维护等管理制度的。大型活动承办单位以及重点目标的管理单位未依照规定对进入大型活动场所、机场、火车站、码头、城市轨道交通站、公路长途客运站、口岸等重点目标的人员、物品和交通工具进行安全检查的，公安机关应当责令改正；拒不改正的，处十万元以下罚款，并对其直接负责的主管人员和其他直接责任人员处一万元以下罚款。</w:t>
            </w:r>
          </w:p>
        </w:tc>
        <w:tc>
          <w:tcPr>
            <w:tcW w:w="800" w:type="dxa"/>
            <w:vMerge w:val="restart"/>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现场</w:t>
            </w:r>
          </w:p>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检查</w:t>
            </w:r>
          </w:p>
        </w:tc>
        <w:tc>
          <w:tcPr>
            <w:tcW w:w="1017" w:type="dxa"/>
            <w:vMerge w:val="restart"/>
            <w:vAlign w:val="center"/>
          </w:tcPr>
          <w:p>
            <w:pPr>
              <w:overflowPunct w:val="0"/>
              <w:adjustRightInd w:val="0"/>
              <w:snapToGrid w:val="0"/>
              <w:spacing w:line="240" w:lineRule="exact"/>
              <w:jc w:val="left"/>
              <w:rPr>
                <w:rFonts w:hint="default" w:ascii="Times New Roman" w:hAnsi="Times New Roman" w:eastAsia="方正仿宋_GBK"/>
                <w:kern w:val="0"/>
                <w:szCs w:val="21"/>
                <w:shd w:val="clear" w:color="auto" w:fill="FFFFFF"/>
                <w:lang w:val="en-US" w:eastAsia="zh-CN"/>
              </w:rPr>
            </w:pPr>
            <w:r>
              <w:rPr>
                <w:rFonts w:hint="eastAsia" w:ascii="Times New Roman" w:hAnsi="Times New Roman" w:eastAsia="方正仿宋_GBK"/>
                <w:kern w:val="0"/>
                <w:szCs w:val="21"/>
                <w:shd w:val="clear" w:color="auto" w:fill="FFFFFF"/>
                <w:lang w:eastAsia="zh-CN"/>
              </w:rPr>
              <w:t>根据风险研判实际情况开展抽查检查</w:t>
            </w:r>
          </w:p>
        </w:tc>
        <w:tc>
          <w:tcPr>
            <w:tcW w:w="1225" w:type="dxa"/>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lang w:val="en-US" w:eastAsia="zh-CN"/>
              </w:rPr>
              <w:t>320209861000</w:t>
            </w:r>
          </w:p>
        </w:tc>
        <w:tc>
          <w:tcPr>
            <w:tcW w:w="2544" w:type="dxa"/>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lang w:val="en-US" w:eastAsia="zh-CN"/>
              </w:rPr>
              <w:t>对防范恐怖袭击重点目标的管理、营运单位未制定防范和应对处置恐怖活动的预案、措施的处罚。</w:t>
            </w:r>
          </w:p>
        </w:tc>
        <w:tc>
          <w:tcPr>
            <w:tcW w:w="483" w:type="dxa"/>
            <w:vMerge w:val="restart"/>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510" w:type="dxa"/>
            <w:vMerge w:val="continue"/>
            <w:vAlign w:val="center"/>
          </w:tcPr>
          <w:p>
            <w:pPr>
              <w:jc w:val="left"/>
              <w:rPr>
                <w:rFonts w:ascii="Times New Roman" w:hAnsi="Times New Roman"/>
                <w:kern w:val="0"/>
                <w:sz w:val="18"/>
                <w:szCs w:val="18"/>
              </w:rPr>
            </w:pPr>
          </w:p>
        </w:tc>
        <w:tc>
          <w:tcPr>
            <w:tcW w:w="1574" w:type="dxa"/>
            <w:vMerge w:val="continue"/>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70" w:type="dxa"/>
            <w:vMerge w:val="continue"/>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546" w:type="dxa"/>
            <w:vMerge w:val="continue"/>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40" w:type="dxa"/>
            <w:vMerge w:val="continue"/>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4785" w:type="dxa"/>
            <w:vMerge w:val="continue"/>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800" w:type="dxa"/>
            <w:vMerge w:val="continue"/>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017" w:type="dxa"/>
            <w:vMerge w:val="continue"/>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p>
        </w:tc>
        <w:tc>
          <w:tcPr>
            <w:tcW w:w="1225" w:type="dxa"/>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lang w:val="en-US" w:eastAsia="zh-CN"/>
              </w:rPr>
              <w:t>320209917000</w:t>
            </w:r>
          </w:p>
        </w:tc>
        <w:tc>
          <w:tcPr>
            <w:tcW w:w="2544" w:type="dxa"/>
            <w:vAlign w:val="center"/>
          </w:tcPr>
          <w:p>
            <w:pPr>
              <w:overflowPunct w:val="0"/>
              <w:adjustRightInd w:val="0"/>
              <w:snapToGrid w:val="0"/>
              <w:spacing w:line="240" w:lineRule="exact"/>
              <w:jc w:val="left"/>
              <w:rPr>
                <w:rFonts w:hint="eastAsia"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lang w:val="en-US" w:eastAsia="zh-CN"/>
              </w:rPr>
              <w:t>对防范恐怖袭击重点目标的管理、营运单位未建立反恐怖主义工作专项经费保障制度，或者未配备防范和处置设备、设施的处罚。</w:t>
            </w:r>
          </w:p>
        </w:tc>
        <w:tc>
          <w:tcPr>
            <w:tcW w:w="483" w:type="dxa"/>
            <w:vMerge w:val="continue"/>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6" w:hRule="atLeast"/>
          <w:jc w:val="center"/>
        </w:trPr>
        <w:tc>
          <w:tcPr>
            <w:tcW w:w="510" w:type="dxa"/>
            <w:vMerge w:val="continue"/>
            <w:vAlign w:val="center"/>
          </w:tcPr>
          <w:p>
            <w:pPr>
              <w:jc w:val="left"/>
              <w:rPr>
                <w:rFonts w:ascii="Times New Roman" w:hAnsi="Times New Roman"/>
                <w:kern w:val="0"/>
                <w:sz w:val="18"/>
                <w:szCs w:val="18"/>
              </w:rPr>
            </w:pPr>
          </w:p>
        </w:tc>
        <w:tc>
          <w:tcPr>
            <w:tcW w:w="1574" w:type="dxa"/>
            <w:vMerge w:val="continue"/>
            <w:vAlign w:val="center"/>
          </w:tcPr>
          <w:p>
            <w:pPr>
              <w:overflowPunct w:val="0"/>
              <w:autoSpaceDE w:val="0"/>
              <w:autoSpaceDN w:val="0"/>
              <w:ind w:firstLine="360" w:firstLineChars="200"/>
              <w:jc w:val="left"/>
              <w:rPr>
                <w:rFonts w:ascii="Times New Roman" w:hAnsi="Times New Roman"/>
                <w:kern w:val="0"/>
                <w:sz w:val="18"/>
                <w:szCs w:val="18"/>
              </w:rPr>
            </w:pPr>
          </w:p>
        </w:tc>
        <w:tc>
          <w:tcPr>
            <w:tcW w:w="570" w:type="dxa"/>
            <w:vMerge w:val="continue"/>
            <w:vAlign w:val="center"/>
          </w:tcPr>
          <w:p>
            <w:pPr>
              <w:overflowPunct w:val="0"/>
              <w:autoSpaceDE w:val="0"/>
              <w:autoSpaceDN w:val="0"/>
              <w:jc w:val="left"/>
              <w:rPr>
                <w:rFonts w:ascii="Times New Roman" w:hAnsi="Times New Roman"/>
                <w:b/>
                <w:kern w:val="0"/>
                <w:sz w:val="18"/>
                <w:szCs w:val="18"/>
              </w:rPr>
            </w:pPr>
          </w:p>
        </w:tc>
        <w:tc>
          <w:tcPr>
            <w:tcW w:w="546" w:type="dxa"/>
            <w:vMerge w:val="continue"/>
            <w:vAlign w:val="center"/>
          </w:tcPr>
          <w:p>
            <w:pPr>
              <w:overflowPunct w:val="0"/>
              <w:autoSpaceDE w:val="0"/>
              <w:autoSpaceDN w:val="0"/>
              <w:jc w:val="left"/>
              <w:rPr>
                <w:rFonts w:ascii="Times New Roman" w:hAnsi="Times New Roman"/>
                <w:b/>
                <w:kern w:val="0"/>
                <w:sz w:val="18"/>
                <w:szCs w:val="18"/>
              </w:rPr>
            </w:pPr>
          </w:p>
        </w:tc>
        <w:tc>
          <w:tcPr>
            <w:tcW w:w="840" w:type="dxa"/>
            <w:vMerge w:val="continue"/>
            <w:vAlign w:val="center"/>
          </w:tcPr>
          <w:p>
            <w:pPr>
              <w:overflowPunct w:val="0"/>
              <w:autoSpaceDE w:val="0"/>
              <w:autoSpaceDN w:val="0"/>
              <w:spacing w:line="320" w:lineRule="exact"/>
              <w:jc w:val="left"/>
              <w:rPr>
                <w:rFonts w:ascii="Times New Roman" w:hAnsi="Times New Roman"/>
                <w:b/>
                <w:kern w:val="0"/>
                <w:sz w:val="18"/>
                <w:szCs w:val="18"/>
              </w:rPr>
            </w:pPr>
          </w:p>
        </w:tc>
        <w:tc>
          <w:tcPr>
            <w:tcW w:w="4785" w:type="dxa"/>
            <w:vMerge w:val="continue"/>
            <w:vAlign w:val="center"/>
          </w:tcPr>
          <w:p>
            <w:pPr>
              <w:ind w:firstLine="420" w:firstLineChars="200"/>
              <w:jc w:val="left"/>
              <w:rPr>
                <w:rFonts w:ascii="Times New Roman" w:hAnsi="Times New Roman" w:eastAsia="方正仿宋_GBK"/>
                <w:kern w:val="0"/>
                <w:szCs w:val="21"/>
                <w:shd w:val="clear" w:color="auto" w:fill="FFFFFF"/>
              </w:rPr>
            </w:pPr>
          </w:p>
        </w:tc>
        <w:tc>
          <w:tcPr>
            <w:tcW w:w="800" w:type="dxa"/>
            <w:vMerge w:val="continue"/>
            <w:vAlign w:val="center"/>
          </w:tcPr>
          <w:p>
            <w:pPr>
              <w:jc w:val="left"/>
              <w:rPr>
                <w:rFonts w:ascii="Times New Roman" w:hAnsi="Times New Roman"/>
                <w:b/>
                <w:kern w:val="0"/>
                <w:sz w:val="18"/>
                <w:szCs w:val="18"/>
              </w:rPr>
            </w:pPr>
          </w:p>
        </w:tc>
        <w:tc>
          <w:tcPr>
            <w:tcW w:w="1017" w:type="dxa"/>
            <w:vMerge w:val="continue"/>
            <w:vAlign w:val="center"/>
          </w:tcPr>
          <w:p>
            <w:pPr>
              <w:jc w:val="left"/>
              <w:rPr>
                <w:rFonts w:ascii="Times New Roman" w:hAnsi="Times New Roman"/>
                <w:bCs/>
                <w:kern w:val="0"/>
                <w:sz w:val="18"/>
                <w:szCs w:val="18"/>
              </w:rPr>
            </w:pPr>
          </w:p>
        </w:tc>
        <w:tc>
          <w:tcPr>
            <w:tcW w:w="1225" w:type="dxa"/>
            <w:vAlign w:val="center"/>
          </w:tcPr>
          <w:p>
            <w:pPr>
              <w:keepNext w:val="0"/>
              <w:keepLines w:val="0"/>
              <w:widowControl/>
              <w:suppressLineNumbers w:val="0"/>
              <w:jc w:val="left"/>
              <w:textAlignment w:val="center"/>
              <w:rPr>
                <w:rFonts w:ascii="Times New Roman" w:hAnsi="Times New Roman"/>
                <w:bCs/>
                <w:kern w:val="0"/>
                <w:sz w:val="18"/>
                <w:szCs w:val="18"/>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320209934000</w:t>
            </w:r>
          </w:p>
        </w:tc>
        <w:tc>
          <w:tcPr>
            <w:tcW w:w="2544" w:type="dxa"/>
            <w:vAlign w:val="center"/>
          </w:tcPr>
          <w:p>
            <w:pPr>
              <w:keepNext w:val="0"/>
              <w:keepLines w:val="0"/>
              <w:widowControl/>
              <w:suppressLineNumbers w:val="0"/>
              <w:jc w:val="left"/>
              <w:textAlignment w:val="center"/>
              <w:rPr>
                <w:rFonts w:ascii="Times New Roman" w:hAnsi="Times New Roman"/>
                <w:bCs/>
                <w:kern w:val="0"/>
                <w:sz w:val="18"/>
                <w:szCs w:val="18"/>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对防范恐怖袭击重点目标的管理、营运单位未落实工作机构或者责任人员的处罚。</w:t>
            </w:r>
          </w:p>
        </w:tc>
        <w:tc>
          <w:tcPr>
            <w:tcW w:w="483" w:type="dxa"/>
            <w:vMerge w:val="continue"/>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510" w:type="dxa"/>
            <w:vMerge w:val="continue"/>
            <w:vAlign w:val="center"/>
          </w:tcPr>
          <w:p>
            <w:pPr>
              <w:jc w:val="left"/>
              <w:rPr>
                <w:rFonts w:ascii="Times New Roman" w:hAnsi="Times New Roman"/>
                <w:kern w:val="0"/>
                <w:sz w:val="18"/>
                <w:szCs w:val="18"/>
              </w:rPr>
            </w:pPr>
          </w:p>
        </w:tc>
        <w:tc>
          <w:tcPr>
            <w:tcW w:w="1574" w:type="dxa"/>
            <w:vMerge w:val="continue"/>
            <w:vAlign w:val="center"/>
          </w:tcPr>
          <w:p>
            <w:pPr>
              <w:overflowPunct w:val="0"/>
              <w:autoSpaceDE w:val="0"/>
              <w:autoSpaceDN w:val="0"/>
              <w:ind w:firstLine="360" w:firstLineChars="200"/>
              <w:jc w:val="left"/>
              <w:rPr>
                <w:rFonts w:ascii="Times New Roman" w:hAnsi="Times New Roman"/>
                <w:kern w:val="0"/>
                <w:sz w:val="18"/>
                <w:szCs w:val="18"/>
              </w:rPr>
            </w:pPr>
          </w:p>
        </w:tc>
        <w:tc>
          <w:tcPr>
            <w:tcW w:w="570" w:type="dxa"/>
            <w:vMerge w:val="continue"/>
            <w:vAlign w:val="center"/>
          </w:tcPr>
          <w:p>
            <w:pPr>
              <w:overflowPunct w:val="0"/>
              <w:autoSpaceDE w:val="0"/>
              <w:autoSpaceDN w:val="0"/>
              <w:jc w:val="left"/>
              <w:rPr>
                <w:rFonts w:ascii="Times New Roman" w:hAnsi="Times New Roman"/>
                <w:b/>
                <w:kern w:val="0"/>
                <w:sz w:val="18"/>
                <w:szCs w:val="18"/>
              </w:rPr>
            </w:pPr>
          </w:p>
        </w:tc>
        <w:tc>
          <w:tcPr>
            <w:tcW w:w="546" w:type="dxa"/>
            <w:vMerge w:val="continue"/>
            <w:vAlign w:val="center"/>
          </w:tcPr>
          <w:p>
            <w:pPr>
              <w:overflowPunct w:val="0"/>
              <w:autoSpaceDE w:val="0"/>
              <w:autoSpaceDN w:val="0"/>
              <w:jc w:val="left"/>
              <w:rPr>
                <w:rFonts w:ascii="Times New Roman" w:hAnsi="Times New Roman"/>
                <w:b/>
                <w:kern w:val="0"/>
                <w:sz w:val="18"/>
                <w:szCs w:val="18"/>
              </w:rPr>
            </w:pPr>
          </w:p>
        </w:tc>
        <w:tc>
          <w:tcPr>
            <w:tcW w:w="840" w:type="dxa"/>
            <w:vMerge w:val="continue"/>
            <w:vAlign w:val="center"/>
          </w:tcPr>
          <w:p>
            <w:pPr>
              <w:overflowPunct w:val="0"/>
              <w:autoSpaceDE w:val="0"/>
              <w:autoSpaceDN w:val="0"/>
              <w:spacing w:line="320" w:lineRule="exact"/>
              <w:jc w:val="left"/>
              <w:rPr>
                <w:rFonts w:ascii="Times New Roman" w:hAnsi="Times New Roman"/>
                <w:b/>
                <w:kern w:val="0"/>
                <w:sz w:val="18"/>
                <w:szCs w:val="18"/>
              </w:rPr>
            </w:pPr>
          </w:p>
        </w:tc>
        <w:tc>
          <w:tcPr>
            <w:tcW w:w="4785" w:type="dxa"/>
            <w:vMerge w:val="continue"/>
            <w:vAlign w:val="center"/>
          </w:tcPr>
          <w:p>
            <w:pPr>
              <w:ind w:firstLine="420" w:firstLineChars="200"/>
              <w:jc w:val="left"/>
              <w:rPr>
                <w:rFonts w:ascii="Times New Roman" w:hAnsi="Times New Roman" w:eastAsia="方正仿宋_GBK"/>
                <w:kern w:val="0"/>
                <w:szCs w:val="21"/>
                <w:shd w:val="clear" w:color="auto" w:fill="FFFFFF"/>
              </w:rPr>
            </w:pPr>
          </w:p>
        </w:tc>
        <w:tc>
          <w:tcPr>
            <w:tcW w:w="800" w:type="dxa"/>
            <w:vMerge w:val="continue"/>
            <w:vAlign w:val="center"/>
          </w:tcPr>
          <w:p>
            <w:pPr>
              <w:jc w:val="left"/>
              <w:rPr>
                <w:rFonts w:ascii="Times New Roman" w:hAnsi="Times New Roman"/>
                <w:b/>
                <w:kern w:val="0"/>
                <w:sz w:val="18"/>
                <w:szCs w:val="18"/>
              </w:rPr>
            </w:pPr>
          </w:p>
        </w:tc>
        <w:tc>
          <w:tcPr>
            <w:tcW w:w="1017" w:type="dxa"/>
            <w:vMerge w:val="continue"/>
            <w:vAlign w:val="center"/>
          </w:tcPr>
          <w:p>
            <w:pPr>
              <w:jc w:val="left"/>
              <w:rPr>
                <w:rFonts w:ascii="Times New Roman" w:hAnsi="Times New Roman"/>
                <w:bCs/>
                <w:kern w:val="0"/>
                <w:sz w:val="18"/>
                <w:szCs w:val="18"/>
              </w:rPr>
            </w:pPr>
          </w:p>
        </w:tc>
        <w:tc>
          <w:tcPr>
            <w:tcW w:w="1225" w:type="dxa"/>
            <w:vAlign w:val="center"/>
          </w:tcPr>
          <w:p>
            <w:pPr>
              <w:keepNext w:val="0"/>
              <w:keepLines w:val="0"/>
              <w:widowControl/>
              <w:suppressLineNumbers w:val="0"/>
              <w:jc w:val="left"/>
              <w:textAlignment w:val="center"/>
              <w:rPr>
                <w:rFonts w:ascii="Times New Roman" w:hAnsi="Times New Roman"/>
                <w:b/>
                <w:kern w:val="0"/>
                <w:sz w:val="18"/>
                <w:szCs w:val="18"/>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320209897000</w:t>
            </w:r>
          </w:p>
        </w:tc>
        <w:tc>
          <w:tcPr>
            <w:tcW w:w="2544" w:type="dxa"/>
            <w:vAlign w:val="center"/>
          </w:tcPr>
          <w:p>
            <w:pPr>
              <w:keepNext w:val="0"/>
              <w:keepLines w:val="0"/>
              <w:widowControl/>
              <w:suppressLineNumbers w:val="0"/>
              <w:jc w:val="left"/>
              <w:textAlignment w:val="center"/>
              <w:rPr>
                <w:rFonts w:ascii="Times New Roman" w:hAnsi="Times New Roman"/>
                <w:b/>
                <w:kern w:val="0"/>
                <w:sz w:val="18"/>
                <w:szCs w:val="18"/>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对防范恐怖袭击重点目标的管理、营运单位未对重要岗位人员进行安全背景审查，或者未将有不适合情形的人员调整工作岗位的处罚。</w:t>
            </w:r>
          </w:p>
        </w:tc>
        <w:tc>
          <w:tcPr>
            <w:tcW w:w="483" w:type="dxa"/>
            <w:vMerge w:val="continue"/>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510" w:type="dxa"/>
            <w:vMerge w:val="continue"/>
            <w:vAlign w:val="center"/>
          </w:tcPr>
          <w:p>
            <w:pPr>
              <w:jc w:val="left"/>
              <w:rPr>
                <w:rFonts w:ascii="Times New Roman" w:hAnsi="Times New Roman"/>
                <w:kern w:val="0"/>
                <w:sz w:val="18"/>
                <w:szCs w:val="18"/>
              </w:rPr>
            </w:pPr>
          </w:p>
        </w:tc>
        <w:tc>
          <w:tcPr>
            <w:tcW w:w="1574" w:type="dxa"/>
            <w:vMerge w:val="continue"/>
            <w:vAlign w:val="center"/>
          </w:tcPr>
          <w:p>
            <w:pPr>
              <w:overflowPunct w:val="0"/>
              <w:autoSpaceDE w:val="0"/>
              <w:autoSpaceDN w:val="0"/>
              <w:ind w:firstLine="360" w:firstLineChars="200"/>
              <w:jc w:val="left"/>
              <w:rPr>
                <w:rFonts w:ascii="Times New Roman" w:hAnsi="Times New Roman"/>
                <w:kern w:val="0"/>
                <w:sz w:val="18"/>
                <w:szCs w:val="18"/>
              </w:rPr>
            </w:pPr>
          </w:p>
        </w:tc>
        <w:tc>
          <w:tcPr>
            <w:tcW w:w="570" w:type="dxa"/>
            <w:vMerge w:val="continue"/>
            <w:vAlign w:val="center"/>
          </w:tcPr>
          <w:p>
            <w:pPr>
              <w:overflowPunct w:val="0"/>
              <w:autoSpaceDE w:val="0"/>
              <w:autoSpaceDN w:val="0"/>
              <w:jc w:val="left"/>
              <w:rPr>
                <w:rFonts w:ascii="Times New Roman" w:hAnsi="Times New Roman"/>
                <w:b/>
                <w:kern w:val="0"/>
                <w:sz w:val="18"/>
                <w:szCs w:val="18"/>
              </w:rPr>
            </w:pPr>
          </w:p>
        </w:tc>
        <w:tc>
          <w:tcPr>
            <w:tcW w:w="546" w:type="dxa"/>
            <w:vMerge w:val="continue"/>
            <w:vAlign w:val="center"/>
          </w:tcPr>
          <w:p>
            <w:pPr>
              <w:overflowPunct w:val="0"/>
              <w:autoSpaceDE w:val="0"/>
              <w:autoSpaceDN w:val="0"/>
              <w:jc w:val="left"/>
              <w:rPr>
                <w:rFonts w:ascii="Times New Roman" w:hAnsi="Times New Roman"/>
                <w:b/>
                <w:kern w:val="0"/>
                <w:sz w:val="18"/>
                <w:szCs w:val="18"/>
              </w:rPr>
            </w:pPr>
          </w:p>
        </w:tc>
        <w:tc>
          <w:tcPr>
            <w:tcW w:w="840" w:type="dxa"/>
            <w:vMerge w:val="continue"/>
            <w:vAlign w:val="center"/>
          </w:tcPr>
          <w:p>
            <w:pPr>
              <w:overflowPunct w:val="0"/>
              <w:autoSpaceDE w:val="0"/>
              <w:autoSpaceDN w:val="0"/>
              <w:spacing w:line="320" w:lineRule="exact"/>
              <w:jc w:val="left"/>
              <w:rPr>
                <w:rFonts w:ascii="Times New Roman" w:hAnsi="Times New Roman"/>
                <w:b/>
                <w:kern w:val="0"/>
                <w:sz w:val="18"/>
                <w:szCs w:val="18"/>
              </w:rPr>
            </w:pPr>
          </w:p>
        </w:tc>
        <w:tc>
          <w:tcPr>
            <w:tcW w:w="4785" w:type="dxa"/>
            <w:vMerge w:val="continue"/>
            <w:vAlign w:val="center"/>
          </w:tcPr>
          <w:p>
            <w:pPr>
              <w:ind w:firstLine="420" w:firstLineChars="200"/>
              <w:jc w:val="left"/>
              <w:rPr>
                <w:rFonts w:ascii="Times New Roman" w:hAnsi="Times New Roman" w:eastAsia="方正仿宋_GBK"/>
                <w:kern w:val="0"/>
                <w:szCs w:val="21"/>
                <w:shd w:val="clear" w:color="auto" w:fill="FFFFFF"/>
              </w:rPr>
            </w:pPr>
          </w:p>
        </w:tc>
        <w:tc>
          <w:tcPr>
            <w:tcW w:w="800" w:type="dxa"/>
            <w:vMerge w:val="continue"/>
            <w:vAlign w:val="center"/>
          </w:tcPr>
          <w:p>
            <w:pPr>
              <w:jc w:val="left"/>
              <w:rPr>
                <w:rFonts w:ascii="Times New Roman" w:hAnsi="Times New Roman"/>
                <w:b/>
                <w:kern w:val="0"/>
                <w:sz w:val="18"/>
                <w:szCs w:val="18"/>
              </w:rPr>
            </w:pPr>
          </w:p>
        </w:tc>
        <w:tc>
          <w:tcPr>
            <w:tcW w:w="1017" w:type="dxa"/>
            <w:vMerge w:val="continue"/>
            <w:vAlign w:val="center"/>
          </w:tcPr>
          <w:p>
            <w:pPr>
              <w:jc w:val="left"/>
              <w:rPr>
                <w:rFonts w:ascii="Times New Roman" w:hAnsi="Times New Roman"/>
                <w:bCs/>
                <w:kern w:val="0"/>
                <w:sz w:val="18"/>
                <w:szCs w:val="18"/>
              </w:rPr>
            </w:pPr>
          </w:p>
        </w:tc>
        <w:tc>
          <w:tcPr>
            <w:tcW w:w="1225" w:type="dxa"/>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320209898000</w:t>
            </w:r>
          </w:p>
        </w:tc>
        <w:tc>
          <w:tcPr>
            <w:tcW w:w="2544" w:type="dxa"/>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对防范恐怖袭击重点目标的管理、营运单位对公共交通运输工具未依照规定配备安保人员和相应设备、设施的处罚。</w:t>
            </w:r>
          </w:p>
        </w:tc>
        <w:tc>
          <w:tcPr>
            <w:tcW w:w="483" w:type="dxa"/>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510" w:type="dxa"/>
            <w:vMerge w:val="continue"/>
            <w:vAlign w:val="center"/>
          </w:tcPr>
          <w:p>
            <w:pPr>
              <w:jc w:val="left"/>
              <w:rPr>
                <w:rFonts w:ascii="Times New Roman" w:hAnsi="Times New Roman"/>
                <w:kern w:val="0"/>
                <w:sz w:val="18"/>
                <w:szCs w:val="18"/>
              </w:rPr>
            </w:pPr>
          </w:p>
        </w:tc>
        <w:tc>
          <w:tcPr>
            <w:tcW w:w="1574" w:type="dxa"/>
            <w:vMerge w:val="continue"/>
            <w:vAlign w:val="center"/>
          </w:tcPr>
          <w:p>
            <w:pPr>
              <w:overflowPunct w:val="0"/>
              <w:autoSpaceDE w:val="0"/>
              <w:autoSpaceDN w:val="0"/>
              <w:ind w:firstLine="360" w:firstLineChars="200"/>
              <w:jc w:val="left"/>
              <w:rPr>
                <w:rFonts w:ascii="Times New Roman" w:hAnsi="Times New Roman"/>
                <w:kern w:val="0"/>
                <w:sz w:val="18"/>
                <w:szCs w:val="18"/>
              </w:rPr>
            </w:pPr>
          </w:p>
        </w:tc>
        <w:tc>
          <w:tcPr>
            <w:tcW w:w="570" w:type="dxa"/>
            <w:vMerge w:val="continue"/>
            <w:vAlign w:val="center"/>
          </w:tcPr>
          <w:p>
            <w:pPr>
              <w:overflowPunct w:val="0"/>
              <w:autoSpaceDE w:val="0"/>
              <w:autoSpaceDN w:val="0"/>
              <w:jc w:val="left"/>
              <w:rPr>
                <w:rFonts w:ascii="Times New Roman" w:hAnsi="Times New Roman"/>
                <w:b/>
                <w:kern w:val="0"/>
                <w:sz w:val="18"/>
                <w:szCs w:val="18"/>
              </w:rPr>
            </w:pPr>
          </w:p>
        </w:tc>
        <w:tc>
          <w:tcPr>
            <w:tcW w:w="546" w:type="dxa"/>
            <w:vMerge w:val="continue"/>
            <w:vAlign w:val="center"/>
          </w:tcPr>
          <w:p>
            <w:pPr>
              <w:overflowPunct w:val="0"/>
              <w:autoSpaceDE w:val="0"/>
              <w:autoSpaceDN w:val="0"/>
              <w:jc w:val="left"/>
              <w:rPr>
                <w:rFonts w:ascii="Times New Roman" w:hAnsi="Times New Roman"/>
                <w:b/>
                <w:kern w:val="0"/>
                <w:sz w:val="18"/>
                <w:szCs w:val="18"/>
              </w:rPr>
            </w:pPr>
          </w:p>
        </w:tc>
        <w:tc>
          <w:tcPr>
            <w:tcW w:w="840" w:type="dxa"/>
            <w:vMerge w:val="continue"/>
            <w:vAlign w:val="center"/>
          </w:tcPr>
          <w:p>
            <w:pPr>
              <w:overflowPunct w:val="0"/>
              <w:autoSpaceDE w:val="0"/>
              <w:autoSpaceDN w:val="0"/>
              <w:spacing w:line="320" w:lineRule="exact"/>
              <w:jc w:val="left"/>
              <w:rPr>
                <w:rFonts w:ascii="Times New Roman" w:hAnsi="Times New Roman"/>
                <w:b/>
                <w:kern w:val="0"/>
                <w:sz w:val="18"/>
                <w:szCs w:val="18"/>
              </w:rPr>
            </w:pPr>
          </w:p>
        </w:tc>
        <w:tc>
          <w:tcPr>
            <w:tcW w:w="4785" w:type="dxa"/>
            <w:vMerge w:val="continue"/>
            <w:vAlign w:val="center"/>
          </w:tcPr>
          <w:p>
            <w:pPr>
              <w:ind w:firstLine="420" w:firstLineChars="200"/>
              <w:jc w:val="left"/>
              <w:rPr>
                <w:rFonts w:ascii="Times New Roman" w:hAnsi="Times New Roman" w:eastAsia="方正仿宋_GBK"/>
                <w:kern w:val="0"/>
                <w:szCs w:val="21"/>
                <w:shd w:val="clear" w:color="auto" w:fill="FFFFFF"/>
              </w:rPr>
            </w:pPr>
          </w:p>
        </w:tc>
        <w:tc>
          <w:tcPr>
            <w:tcW w:w="800" w:type="dxa"/>
            <w:vMerge w:val="continue"/>
            <w:vAlign w:val="center"/>
          </w:tcPr>
          <w:p>
            <w:pPr>
              <w:jc w:val="left"/>
              <w:rPr>
                <w:rFonts w:ascii="Times New Roman" w:hAnsi="Times New Roman"/>
                <w:b/>
                <w:kern w:val="0"/>
                <w:sz w:val="18"/>
                <w:szCs w:val="18"/>
              </w:rPr>
            </w:pPr>
          </w:p>
        </w:tc>
        <w:tc>
          <w:tcPr>
            <w:tcW w:w="1017" w:type="dxa"/>
            <w:vMerge w:val="continue"/>
            <w:vAlign w:val="center"/>
          </w:tcPr>
          <w:p>
            <w:pPr>
              <w:jc w:val="left"/>
              <w:rPr>
                <w:rFonts w:ascii="Times New Roman" w:hAnsi="Times New Roman"/>
                <w:bCs/>
                <w:kern w:val="0"/>
                <w:sz w:val="18"/>
                <w:szCs w:val="18"/>
              </w:rPr>
            </w:pPr>
          </w:p>
        </w:tc>
        <w:tc>
          <w:tcPr>
            <w:tcW w:w="1225" w:type="dxa"/>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320209899000</w:t>
            </w:r>
          </w:p>
        </w:tc>
        <w:tc>
          <w:tcPr>
            <w:tcW w:w="2544" w:type="dxa"/>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对防范恐怖袭击重点目标的管理、营运单位未建立公共安全视频图像信息系统值班监看、信息保存使用、运行维护等管理制度的处罚。</w:t>
            </w:r>
          </w:p>
        </w:tc>
        <w:tc>
          <w:tcPr>
            <w:tcW w:w="483" w:type="dxa"/>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2" w:hRule="atLeast"/>
          <w:jc w:val="center"/>
        </w:trPr>
        <w:tc>
          <w:tcPr>
            <w:tcW w:w="510" w:type="dxa"/>
            <w:vMerge w:val="continue"/>
            <w:vAlign w:val="center"/>
          </w:tcPr>
          <w:p>
            <w:pPr>
              <w:jc w:val="left"/>
              <w:rPr>
                <w:rFonts w:ascii="Times New Roman" w:hAnsi="Times New Roman"/>
                <w:kern w:val="0"/>
                <w:sz w:val="18"/>
                <w:szCs w:val="18"/>
              </w:rPr>
            </w:pPr>
          </w:p>
        </w:tc>
        <w:tc>
          <w:tcPr>
            <w:tcW w:w="1574" w:type="dxa"/>
            <w:vMerge w:val="continue"/>
            <w:vAlign w:val="center"/>
          </w:tcPr>
          <w:p>
            <w:pPr>
              <w:overflowPunct w:val="0"/>
              <w:autoSpaceDE w:val="0"/>
              <w:autoSpaceDN w:val="0"/>
              <w:ind w:firstLine="360" w:firstLineChars="200"/>
              <w:jc w:val="left"/>
              <w:rPr>
                <w:rFonts w:ascii="Times New Roman" w:hAnsi="Times New Roman"/>
                <w:kern w:val="0"/>
                <w:sz w:val="18"/>
                <w:szCs w:val="18"/>
              </w:rPr>
            </w:pPr>
          </w:p>
        </w:tc>
        <w:tc>
          <w:tcPr>
            <w:tcW w:w="570" w:type="dxa"/>
            <w:vMerge w:val="continue"/>
            <w:vAlign w:val="center"/>
          </w:tcPr>
          <w:p>
            <w:pPr>
              <w:overflowPunct w:val="0"/>
              <w:autoSpaceDE w:val="0"/>
              <w:autoSpaceDN w:val="0"/>
              <w:jc w:val="left"/>
              <w:rPr>
                <w:rFonts w:ascii="Times New Roman" w:hAnsi="Times New Roman"/>
                <w:b/>
                <w:kern w:val="0"/>
                <w:sz w:val="18"/>
                <w:szCs w:val="18"/>
              </w:rPr>
            </w:pPr>
          </w:p>
        </w:tc>
        <w:tc>
          <w:tcPr>
            <w:tcW w:w="546" w:type="dxa"/>
            <w:vMerge w:val="continue"/>
            <w:vAlign w:val="center"/>
          </w:tcPr>
          <w:p>
            <w:pPr>
              <w:overflowPunct w:val="0"/>
              <w:autoSpaceDE w:val="0"/>
              <w:autoSpaceDN w:val="0"/>
              <w:jc w:val="left"/>
              <w:rPr>
                <w:rFonts w:ascii="Times New Roman" w:hAnsi="Times New Roman"/>
                <w:b/>
                <w:kern w:val="0"/>
                <w:sz w:val="18"/>
                <w:szCs w:val="18"/>
              </w:rPr>
            </w:pPr>
          </w:p>
        </w:tc>
        <w:tc>
          <w:tcPr>
            <w:tcW w:w="840" w:type="dxa"/>
            <w:vMerge w:val="continue"/>
            <w:vAlign w:val="center"/>
          </w:tcPr>
          <w:p>
            <w:pPr>
              <w:overflowPunct w:val="0"/>
              <w:autoSpaceDE w:val="0"/>
              <w:autoSpaceDN w:val="0"/>
              <w:spacing w:line="320" w:lineRule="exact"/>
              <w:jc w:val="left"/>
              <w:rPr>
                <w:rFonts w:ascii="Times New Roman" w:hAnsi="Times New Roman"/>
                <w:b/>
                <w:kern w:val="0"/>
                <w:sz w:val="18"/>
                <w:szCs w:val="18"/>
              </w:rPr>
            </w:pPr>
          </w:p>
        </w:tc>
        <w:tc>
          <w:tcPr>
            <w:tcW w:w="4785" w:type="dxa"/>
            <w:vMerge w:val="continue"/>
            <w:vAlign w:val="center"/>
          </w:tcPr>
          <w:p>
            <w:pPr>
              <w:ind w:firstLine="420" w:firstLineChars="200"/>
              <w:jc w:val="left"/>
              <w:rPr>
                <w:rFonts w:ascii="Times New Roman" w:hAnsi="Times New Roman" w:eastAsia="方正仿宋_GBK"/>
                <w:kern w:val="0"/>
                <w:szCs w:val="21"/>
                <w:shd w:val="clear" w:color="auto" w:fill="FFFFFF"/>
              </w:rPr>
            </w:pPr>
          </w:p>
        </w:tc>
        <w:tc>
          <w:tcPr>
            <w:tcW w:w="800" w:type="dxa"/>
            <w:vMerge w:val="continue"/>
            <w:vAlign w:val="center"/>
          </w:tcPr>
          <w:p>
            <w:pPr>
              <w:jc w:val="left"/>
              <w:rPr>
                <w:rFonts w:ascii="Times New Roman" w:hAnsi="Times New Roman"/>
                <w:b/>
                <w:kern w:val="0"/>
                <w:sz w:val="18"/>
                <w:szCs w:val="18"/>
              </w:rPr>
            </w:pPr>
          </w:p>
        </w:tc>
        <w:tc>
          <w:tcPr>
            <w:tcW w:w="1017" w:type="dxa"/>
            <w:vMerge w:val="continue"/>
            <w:vAlign w:val="center"/>
          </w:tcPr>
          <w:p>
            <w:pPr>
              <w:jc w:val="left"/>
              <w:rPr>
                <w:rFonts w:ascii="Times New Roman" w:hAnsi="Times New Roman"/>
                <w:bCs/>
                <w:kern w:val="0"/>
                <w:sz w:val="18"/>
                <w:szCs w:val="18"/>
              </w:rPr>
            </w:pPr>
          </w:p>
        </w:tc>
        <w:tc>
          <w:tcPr>
            <w:tcW w:w="1225" w:type="dxa"/>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320209269000</w:t>
            </w:r>
          </w:p>
        </w:tc>
        <w:tc>
          <w:tcPr>
            <w:tcW w:w="2544" w:type="dxa"/>
            <w:vAlign w:val="center"/>
          </w:tcPr>
          <w:p>
            <w:pPr>
              <w:keepNext w:val="0"/>
              <w:keepLines w:val="0"/>
              <w:widowControl/>
              <w:suppressLineNumbers w:val="0"/>
              <w:jc w:val="left"/>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对大型活动承办单位以及重点目标的管理单位未按规定进行安全检查的处罚</w:t>
            </w:r>
          </w:p>
        </w:tc>
        <w:tc>
          <w:tcPr>
            <w:tcW w:w="483" w:type="dxa"/>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restart"/>
            <w:vAlign w:val="center"/>
          </w:tcPr>
          <w:p>
            <w:pPr>
              <w:jc w:val="left"/>
              <w:rPr>
                <w:rFonts w:hint="default" w:ascii="方正仿宋_GBK" w:hAnsi="方正仿宋_GBK" w:eastAsia="方正仿宋_GBK" w:cs="方正仿宋_GBK"/>
                <w:b w:val="0"/>
                <w:bCs w:val="0"/>
                <w:kern w:val="0"/>
                <w:sz w:val="21"/>
                <w:szCs w:val="21"/>
                <w:lang w:val="en-US" w:eastAsia="zh-CN"/>
              </w:rPr>
            </w:pPr>
            <w:r>
              <w:rPr>
                <w:rFonts w:hint="default" w:ascii="Times New Roman" w:hAnsi="Times New Roman" w:eastAsia="方正仿宋_GBK" w:cs="Times New Roman"/>
                <w:b w:val="0"/>
                <w:bCs w:val="0"/>
                <w:kern w:val="0"/>
                <w:sz w:val="21"/>
                <w:szCs w:val="21"/>
                <w:lang w:val="en-US" w:eastAsia="zh-CN"/>
              </w:rPr>
              <w:t>10</w:t>
            </w:r>
          </w:p>
        </w:tc>
        <w:tc>
          <w:tcPr>
            <w:tcW w:w="1574" w:type="dxa"/>
            <w:vMerge w:val="restart"/>
            <w:vAlign w:val="center"/>
          </w:tcPr>
          <w:p>
            <w:pPr>
              <w:widowControl/>
              <w:autoSpaceDE w:val="0"/>
              <w:autoSpaceDN w:val="0"/>
              <w:spacing w:line="240" w:lineRule="exact"/>
              <w:jc w:val="left"/>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lang w:eastAsia="zh-CN"/>
              </w:rPr>
              <w:t>对</w:t>
            </w:r>
            <w:r>
              <w:rPr>
                <w:rFonts w:hint="eastAsia" w:ascii="方正仿宋_GBK" w:hAnsi="方正仿宋_GBK" w:eastAsia="方正仿宋_GBK" w:cs="方正仿宋_GBK"/>
                <w:b w:val="0"/>
                <w:bCs w:val="0"/>
                <w:kern w:val="0"/>
                <w:sz w:val="21"/>
                <w:szCs w:val="21"/>
                <w:shd w:val="clear" w:color="auto" w:fill="FFFFFF"/>
              </w:rPr>
              <w:t>单位内部治安保卫工作</w:t>
            </w:r>
            <w:r>
              <w:rPr>
                <w:rFonts w:hint="eastAsia" w:ascii="方正仿宋_GBK" w:hAnsi="方正仿宋_GBK" w:eastAsia="方正仿宋_GBK" w:cs="方正仿宋_GBK"/>
                <w:b w:val="0"/>
                <w:bCs w:val="0"/>
                <w:kern w:val="0"/>
                <w:sz w:val="21"/>
                <w:szCs w:val="21"/>
                <w:shd w:val="clear" w:color="auto" w:fill="FFFFFF"/>
                <w:lang w:eastAsia="zh-CN"/>
              </w:rPr>
              <w:t>的</w:t>
            </w:r>
            <w:r>
              <w:rPr>
                <w:rFonts w:hint="eastAsia" w:ascii="方正仿宋_GBK" w:hAnsi="方正仿宋_GBK" w:eastAsia="方正仿宋_GBK" w:cs="方正仿宋_GBK"/>
                <w:b w:val="0"/>
                <w:bCs w:val="0"/>
                <w:kern w:val="0"/>
                <w:sz w:val="21"/>
                <w:szCs w:val="21"/>
                <w:shd w:val="clear" w:color="auto" w:fill="FFFFFF"/>
              </w:rPr>
              <w:t>监督检查</w:t>
            </w:r>
          </w:p>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restart"/>
            <w:vAlign w:val="center"/>
          </w:tcPr>
          <w:p>
            <w:pPr>
              <w:widowControl/>
              <w:autoSpaceDE w:val="0"/>
              <w:autoSpaceDN w:val="0"/>
              <w:spacing w:line="240" w:lineRule="exact"/>
              <w:jc w:val="left"/>
              <w:rPr>
                <w:rFonts w:hint="eastAsia" w:ascii="方正仿宋_GBK" w:hAnsi="方正仿宋_GBK" w:eastAsia="方正仿宋_GBK" w:cs="方正仿宋_GBK"/>
                <w:b w:val="0"/>
                <w:bCs w:val="0"/>
                <w:kern w:val="0"/>
                <w:sz w:val="21"/>
                <w:szCs w:val="21"/>
                <w:lang w:val="en-US" w:eastAsia="zh-CN"/>
              </w:rPr>
            </w:pPr>
            <w:r>
              <w:rPr>
                <w:rFonts w:hint="eastAsia" w:ascii="方正仿宋_GBK" w:hAnsi="方正仿宋_GBK" w:eastAsia="方正仿宋_GBK" w:cs="方正仿宋_GBK"/>
                <w:b w:val="0"/>
                <w:bCs w:val="0"/>
                <w:kern w:val="0"/>
                <w:sz w:val="21"/>
                <w:szCs w:val="21"/>
                <w:lang w:val="en-US" w:eastAsia="zh-CN"/>
              </w:rPr>
              <w:t>苏州市公安局</w:t>
            </w:r>
          </w:p>
        </w:tc>
        <w:tc>
          <w:tcPr>
            <w:tcW w:w="546" w:type="dxa"/>
            <w:vMerge w:val="restart"/>
            <w:vAlign w:val="center"/>
          </w:tcPr>
          <w:p>
            <w:pPr>
              <w:widowControl/>
              <w:autoSpaceDE w:val="0"/>
              <w:autoSpaceDN w:val="0"/>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lang w:eastAsia="zh-CN"/>
              </w:rPr>
              <w:t>内保部门</w:t>
            </w:r>
          </w:p>
        </w:tc>
        <w:tc>
          <w:tcPr>
            <w:tcW w:w="840" w:type="dxa"/>
            <w:vMerge w:val="restart"/>
            <w:vAlign w:val="center"/>
          </w:tcPr>
          <w:p>
            <w:pPr>
              <w:widowControl/>
              <w:autoSpaceDE w:val="0"/>
              <w:autoSpaceDN w:val="0"/>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shd w:val="clear" w:color="auto" w:fill="FFFFFF"/>
              </w:rPr>
              <w:t>企事业单位</w:t>
            </w:r>
          </w:p>
        </w:tc>
        <w:tc>
          <w:tcPr>
            <w:tcW w:w="4785" w:type="dxa"/>
            <w:vMerge w:val="restart"/>
            <w:vAlign w:val="center"/>
          </w:tcPr>
          <w:p>
            <w:pPr>
              <w:keepNext w:val="0"/>
              <w:keepLines w:val="0"/>
              <w:pageBreakBefore w:val="0"/>
              <w:widowControl/>
              <w:kinsoku/>
              <w:wordWrap/>
              <w:overflowPunct/>
              <w:topLinePunct w:val="0"/>
              <w:bidi w:val="0"/>
              <w:spacing w:line="240" w:lineRule="auto"/>
              <w:ind w:right="0" w:rightChars="0" w:firstLine="210" w:firstLineChars="100"/>
              <w:jc w:val="left"/>
              <w:outlineLvl w:val="9"/>
              <w:rPr>
                <w:rFonts w:hint="eastAsia" w:ascii="方正仿宋_GBK" w:hAnsi="方正仿宋_GBK" w:eastAsia="方正仿宋_GBK" w:cs="方正仿宋_GBK"/>
                <w:b w:val="0"/>
                <w:bCs w:val="0"/>
                <w:kern w:val="0"/>
                <w:sz w:val="21"/>
                <w:szCs w:val="21"/>
                <w:shd w:val="clear" w:color="auto" w:fill="FFFFFF"/>
                <w:lang w:eastAsia="zh-CN"/>
              </w:rPr>
            </w:pPr>
            <w:r>
              <w:rPr>
                <w:rFonts w:hint="eastAsia" w:ascii="方正仿宋_GBK" w:hAnsi="方正仿宋_GBK" w:eastAsia="方正仿宋_GBK" w:cs="方正仿宋_GBK"/>
                <w:b w:val="0"/>
                <w:bCs w:val="0"/>
                <w:kern w:val="0"/>
                <w:sz w:val="21"/>
                <w:szCs w:val="21"/>
                <w:shd w:val="clear" w:color="auto" w:fill="FFFFFF"/>
                <w:lang w:eastAsia="zh-CN"/>
              </w:rPr>
              <w:t>《企业事业单位内部治安保卫条例》</w:t>
            </w:r>
          </w:p>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第三条</w:t>
            </w:r>
            <w:r>
              <w:rPr>
                <w:rFonts w:hint="eastAsia" w:ascii="方正仿宋_GBK" w:hAnsi="方正仿宋_GBK" w:eastAsia="方正仿宋_GBK" w:cs="方正仿宋_GBK"/>
                <w:b w:val="0"/>
                <w:bCs w:val="0"/>
                <w:kern w:val="0"/>
                <w:sz w:val="21"/>
                <w:szCs w:val="21"/>
                <w:shd w:val="clear" w:color="auto" w:fill="FFFFFF"/>
                <w:lang w:val="en-US" w:eastAsia="zh-CN"/>
              </w:rPr>
              <w:t xml:space="preserve"> </w:t>
            </w:r>
            <w:r>
              <w:rPr>
                <w:rFonts w:hint="eastAsia" w:ascii="方正仿宋_GBK" w:hAnsi="方正仿宋_GBK" w:eastAsia="方正仿宋_GBK" w:cs="方正仿宋_GBK"/>
                <w:b w:val="0"/>
                <w:bCs w:val="0"/>
                <w:kern w:val="0"/>
                <w:sz w:val="21"/>
                <w:szCs w:val="21"/>
                <w:shd w:val="clear" w:color="auto" w:fill="FFFFFF"/>
              </w:rPr>
              <w:t xml:space="preserve"> 国务院公安部门指导、监督全国的单位内部治安保卫工作，对行业、系统有监管职责的国务院有关部门指导、检查本行业、本系统的单位内部治安保卫工作；县级以上地方各级人民政府公安机关指导、监督本行政区域内的单位内部治安保卫工作，对行业、系统有监管职责的县级以上地方各级人民政府有关部门指导、检查本行政区域内的本行业、本系统的单位内部治安保卫工作，及时解决单位内部治安保卫工作中的突出问题。</w:t>
            </w:r>
          </w:p>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 xml:space="preserve">第十六条 </w:t>
            </w:r>
            <w:r>
              <w:rPr>
                <w:rFonts w:hint="eastAsia" w:ascii="方正仿宋_GBK" w:hAnsi="方正仿宋_GBK" w:eastAsia="方正仿宋_GBK" w:cs="方正仿宋_GBK"/>
                <w:b w:val="0"/>
                <w:bCs w:val="0"/>
                <w:kern w:val="0"/>
                <w:sz w:val="21"/>
                <w:szCs w:val="21"/>
                <w:shd w:val="clear" w:color="auto" w:fill="FFFFFF"/>
                <w:lang w:val="en-US" w:eastAsia="zh-CN"/>
              </w:rPr>
              <w:t xml:space="preserve"> </w:t>
            </w:r>
            <w:r>
              <w:rPr>
                <w:rFonts w:hint="eastAsia" w:ascii="方正仿宋_GBK" w:hAnsi="方正仿宋_GBK" w:eastAsia="方正仿宋_GBK" w:cs="方正仿宋_GBK"/>
                <w:b w:val="0"/>
                <w:bCs w:val="0"/>
                <w:kern w:val="0"/>
                <w:sz w:val="21"/>
                <w:szCs w:val="21"/>
                <w:shd w:val="clear" w:color="auto" w:fill="FFFFFF"/>
              </w:rPr>
              <w:t>公安机关对本行政区域内的单位内部治安保卫工作履行下列职责：</w:t>
            </w:r>
          </w:p>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（一）指导单位制定、完善内部治安保卫制度，落实治安防范措施，指导治安保卫人员队伍建设和治安保卫重点单位的治安保卫机构建设；</w:t>
            </w:r>
          </w:p>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（二）检查、指导单位的内部治安保卫工作，发现单位有违反本条例规定的行为或者治安隐患，及时下达整改通知书，责令限期整改；</w:t>
            </w:r>
          </w:p>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shd w:val="clear" w:color="auto" w:fill="FFFFFF"/>
                <w:lang w:eastAsia="zh-CN"/>
              </w:rPr>
            </w:pPr>
            <w:r>
              <w:rPr>
                <w:rFonts w:hint="eastAsia" w:ascii="方正仿宋_GBK" w:hAnsi="方正仿宋_GBK" w:eastAsia="方正仿宋_GBK" w:cs="方正仿宋_GBK"/>
                <w:b w:val="0"/>
                <w:bCs w:val="0"/>
                <w:kern w:val="0"/>
                <w:sz w:val="21"/>
                <w:szCs w:val="21"/>
                <w:shd w:val="clear" w:color="auto" w:fill="FFFFFF"/>
              </w:rPr>
              <w:t>（三）接到单位内部发生治安案件、涉嫌刑事犯罪案件的报警，及时出警，依法处置。</w:t>
            </w:r>
          </w:p>
          <w:p>
            <w:pPr>
              <w:keepNext w:val="0"/>
              <w:keepLines w:val="0"/>
              <w:pageBreakBefore w:val="0"/>
              <w:widowControl/>
              <w:kinsoku/>
              <w:wordWrap/>
              <w:overflowPunct/>
              <w:topLinePunct w:val="0"/>
              <w:bidi w:val="0"/>
              <w:spacing w:line="240" w:lineRule="auto"/>
              <w:ind w:right="0" w:rightChars="0" w:firstLine="210" w:firstLineChars="100"/>
              <w:jc w:val="left"/>
              <w:outlineLvl w:val="9"/>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《江苏省企业事业单位内部治安保卫条例》</w:t>
            </w:r>
          </w:p>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 xml:space="preserve">第二十四条 </w:t>
            </w:r>
            <w:r>
              <w:rPr>
                <w:rFonts w:hint="eastAsia" w:ascii="方正仿宋_GBK" w:hAnsi="方正仿宋_GBK" w:eastAsia="方正仿宋_GBK" w:cs="方正仿宋_GBK"/>
                <w:b w:val="0"/>
                <w:bCs w:val="0"/>
                <w:kern w:val="0"/>
                <w:sz w:val="21"/>
                <w:szCs w:val="21"/>
                <w:shd w:val="clear" w:color="auto" w:fill="FFFFFF"/>
                <w:lang w:val="en-US" w:eastAsia="zh-CN"/>
              </w:rPr>
              <w:t xml:space="preserve"> </w:t>
            </w:r>
            <w:r>
              <w:rPr>
                <w:rFonts w:hint="eastAsia" w:ascii="方正仿宋_GBK" w:hAnsi="方正仿宋_GBK" w:eastAsia="方正仿宋_GBK" w:cs="方正仿宋_GBK"/>
                <w:b w:val="0"/>
                <w:bCs w:val="0"/>
                <w:kern w:val="0"/>
                <w:sz w:val="21"/>
                <w:szCs w:val="21"/>
                <w:shd w:val="clear" w:color="auto" w:fill="FFFFFF"/>
              </w:rPr>
              <w:t>公安机关对本行政区域内单位的内部治安保卫工作履行下列职责：</w:t>
            </w:r>
          </w:p>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（一）指导单位建设治安保卫队伍，制定、完善内部治安保卫制度，落实治安防范措施；</w:t>
            </w:r>
          </w:p>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（二）监督、检查单位的内部治安保卫工作，发现单位有违反内部治安保卫法规行为的，及时下达整改通知书，责令限期整改；</w:t>
            </w:r>
          </w:p>
          <w:p>
            <w:pPr>
              <w:keepNext w:val="0"/>
              <w:keepLines w:val="0"/>
              <w:pageBreakBefore w:val="0"/>
              <w:widowControl/>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shd w:val="clear" w:color="auto" w:fill="FFFFFF"/>
              </w:rPr>
              <w:t>（三）接到单位内部发生治安案件、涉嫌刑事犯罪案件、治安突发事件的报警，及时出警，依法处置。</w:t>
            </w:r>
          </w:p>
        </w:tc>
        <w:tc>
          <w:tcPr>
            <w:tcW w:w="800" w:type="dxa"/>
            <w:vMerge w:val="restart"/>
            <w:vAlign w:val="center"/>
          </w:tcPr>
          <w:p>
            <w:pPr>
              <w:widowControl/>
              <w:autoSpaceDE w:val="0"/>
              <w:autoSpaceDN w:val="0"/>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shd w:val="clear" w:color="auto" w:fill="FFFFFF"/>
              </w:rPr>
              <w:t>现场检查</w:t>
            </w:r>
          </w:p>
        </w:tc>
        <w:tc>
          <w:tcPr>
            <w:tcW w:w="1017" w:type="dxa"/>
            <w:vMerge w:val="restart"/>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lang w:val="en-US" w:eastAsia="zh-CN"/>
              </w:rPr>
              <w:t>无明确检查频次要求</w:t>
            </w:r>
          </w:p>
        </w:tc>
        <w:tc>
          <w:tcPr>
            <w:tcW w:w="1225" w:type="dxa"/>
            <w:vAlign w:val="center"/>
          </w:tcPr>
          <w:p>
            <w:pPr>
              <w:jc w:val="left"/>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3202GA022000</w:t>
            </w:r>
          </w:p>
        </w:tc>
        <w:tc>
          <w:tcPr>
            <w:tcW w:w="2544" w:type="dxa"/>
            <w:vAlign w:val="center"/>
          </w:tcPr>
          <w:p>
            <w:pPr>
              <w:jc w:val="left"/>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对单位不落实单位内部治安保卫措施逾期不整改的处罚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jc w:val="left"/>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3202GA023000</w:t>
            </w:r>
          </w:p>
        </w:tc>
        <w:tc>
          <w:tcPr>
            <w:tcW w:w="2544" w:type="dxa"/>
            <w:vAlign w:val="center"/>
          </w:tcPr>
          <w:p>
            <w:pPr>
              <w:jc w:val="left"/>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对单位不落实单位内部治安保卫措施整改期间未采取必要的防范措施造成人身伤害、财产损失的处罚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jc w:val="left"/>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3202GA067000</w:t>
            </w:r>
          </w:p>
        </w:tc>
        <w:tc>
          <w:tcPr>
            <w:tcW w:w="2544" w:type="dxa"/>
            <w:vAlign w:val="center"/>
          </w:tcPr>
          <w:p>
            <w:pPr>
              <w:jc w:val="left"/>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kern w:val="0"/>
                <w:sz w:val="21"/>
                <w:szCs w:val="21"/>
                <w:shd w:val="clear" w:color="auto" w:fill="FFFFFF"/>
              </w:rPr>
              <w:t>对单位不落实单位内部治安保卫措施的处罚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restart"/>
            <w:vAlign w:val="center"/>
          </w:tcPr>
          <w:p>
            <w:pPr>
              <w:jc w:val="left"/>
              <w:rPr>
                <w:rFonts w:hint="default" w:ascii="方正仿宋_GBK" w:hAnsi="方正仿宋_GBK" w:eastAsia="方正仿宋_GBK" w:cs="方正仿宋_GBK"/>
                <w:b w:val="0"/>
                <w:bCs w:val="0"/>
                <w:kern w:val="0"/>
                <w:sz w:val="21"/>
                <w:szCs w:val="21"/>
                <w:lang w:val="en-US" w:eastAsia="zh-CN"/>
              </w:rPr>
            </w:pPr>
            <w:r>
              <w:rPr>
                <w:rFonts w:hint="eastAsia" w:ascii="方正仿宋_GBK" w:hAnsi="方正仿宋_GBK" w:eastAsia="方正仿宋_GBK" w:cs="方正仿宋_GBK"/>
                <w:b w:val="0"/>
                <w:bCs w:val="0"/>
                <w:kern w:val="0"/>
                <w:sz w:val="21"/>
                <w:szCs w:val="21"/>
                <w:lang w:val="en-US" w:eastAsia="zh-CN"/>
              </w:rPr>
              <w:t>11</w:t>
            </w:r>
          </w:p>
        </w:tc>
        <w:tc>
          <w:tcPr>
            <w:tcW w:w="1574" w:type="dxa"/>
            <w:vMerge w:val="restart"/>
            <w:vAlign w:val="center"/>
          </w:tcPr>
          <w:p>
            <w:pPr>
              <w:widowControl/>
              <w:autoSpaceDE w:val="0"/>
              <w:autoSpaceDN w:val="0"/>
              <w:spacing w:line="240" w:lineRule="exact"/>
              <w:jc w:val="left"/>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对</w:t>
            </w:r>
            <w:r>
              <w:rPr>
                <w:rFonts w:hint="eastAsia" w:ascii="方正仿宋_GBK" w:hAnsi="方正仿宋_GBK" w:eastAsia="方正仿宋_GBK" w:cs="方正仿宋_GBK"/>
                <w:b w:val="0"/>
                <w:bCs w:val="0"/>
                <w:sz w:val="21"/>
                <w:szCs w:val="21"/>
                <w:lang w:val="en-US" w:eastAsia="zh-CN"/>
              </w:rPr>
              <w:t>易制毒化学品单位</w:t>
            </w:r>
            <w:r>
              <w:rPr>
                <w:rFonts w:hint="eastAsia" w:ascii="方正仿宋_GBK" w:hAnsi="方正仿宋_GBK" w:eastAsia="方正仿宋_GBK" w:cs="方正仿宋_GBK"/>
                <w:b w:val="0"/>
                <w:bCs w:val="0"/>
                <w:sz w:val="21"/>
                <w:szCs w:val="21"/>
              </w:rPr>
              <w:t>取得</w:t>
            </w:r>
            <w:r>
              <w:rPr>
                <w:rFonts w:hint="eastAsia" w:ascii="方正仿宋_GBK" w:hAnsi="方正仿宋_GBK" w:eastAsia="方正仿宋_GBK" w:cs="方正仿宋_GBK"/>
                <w:b w:val="0"/>
                <w:bCs w:val="0"/>
                <w:sz w:val="21"/>
                <w:szCs w:val="21"/>
                <w:lang w:val="en-US" w:eastAsia="zh-CN"/>
              </w:rPr>
              <w:t>购买（运输）</w:t>
            </w:r>
            <w:r>
              <w:rPr>
                <w:rFonts w:hint="eastAsia" w:ascii="方正仿宋_GBK" w:hAnsi="方正仿宋_GBK" w:eastAsia="方正仿宋_GBK" w:cs="方正仿宋_GBK"/>
                <w:b w:val="0"/>
                <w:bCs w:val="0"/>
                <w:sz w:val="21"/>
                <w:szCs w:val="21"/>
              </w:rPr>
              <w:t>许可</w:t>
            </w:r>
            <w:r>
              <w:rPr>
                <w:rFonts w:hint="eastAsia" w:ascii="方正仿宋_GBK" w:hAnsi="方正仿宋_GBK" w:eastAsia="方正仿宋_GBK" w:cs="方正仿宋_GBK"/>
                <w:b w:val="0"/>
                <w:bCs w:val="0"/>
                <w:sz w:val="21"/>
                <w:szCs w:val="21"/>
                <w:lang w:eastAsia="zh-CN"/>
              </w:rPr>
              <w:t>（</w:t>
            </w:r>
            <w:r>
              <w:rPr>
                <w:rFonts w:hint="eastAsia" w:ascii="方正仿宋_GBK" w:hAnsi="方正仿宋_GBK" w:eastAsia="方正仿宋_GBK" w:cs="方正仿宋_GBK"/>
                <w:b w:val="0"/>
                <w:bCs w:val="0"/>
                <w:sz w:val="21"/>
                <w:szCs w:val="21"/>
                <w:lang w:val="en-US" w:eastAsia="zh-CN"/>
              </w:rPr>
              <w:t>备案</w:t>
            </w:r>
            <w:r>
              <w:rPr>
                <w:rFonts w:hint="eastAsia" w:ascii="方正仿宋_GBK" w:hAnsi="方正仿宋_GBK" w:eastAsia="方正仿宋_GBK" w:cs="方正仿宋_GBK"/>
                <w:b w:val="0"/>
                <w:bCs w:val="0"/>
                <w:sz w:val="21"/>
                <w:szCs w:val="21"/>
                <w:lang w:eastAsia="zh-CN"/>
              </w:rPr>
              <w:t>）</w:t>
            </w:r>
            <w:r>
              <w:rPr>
                <w:rFonts w:hint="eastAsia" w:ascii="方正仿宋_GBK" w:hAnsi="方正仿宋_GBK" w:eastAsia="方正仿宋_GBK" w:cs="方正仿宋_GBK"/>
                <w:b w:val="0"/>
                <w:bCs w:val="0"/>
                <w:sz w:val="21"/>
                <w:szCs w:val="21"/>
              </w:rPr>
              <w:t>证</w:t>
            </w:r>
            <w:r>
              <w:rPr>
                <w:rFonts w:hint="eastAsia" w:ascii="方正仿宋_GBK" w:hAnsi="方正仿宋_GBK" w:eastAsia="方正仿宋_GBK" w:cs="方正仿宋_GBK"/>
                <w:b w:val="0"/>
                <w:bCs w:val="0"/>
                <w:sz w:val="21"/>
                <w:szCs w:val="21"/>
                <w:lang w:val="en-US" w:eastAsia="zh-CN"/>
              </w:rPr>
              <w:t>明</w:t>
            </w:r>
            <w:r>
              <w:rPr>
                <w:rFonts w:hint="eastAsia" w:ascii="方正仿宋_GBK" w:hAnsi="方正仿宋_GBK" w:eastAsia="方正仿宋_GBK" w:cs="方正仿宋_GBK"/>
                <w:b w:val="0"/>
                <w:bCs w:val="0"/>
                <w:sz w:val="21"/>
                <w:szCs w:val="21"/>
              </w:rPr>
              <w:t>情况的行政检查</w:t>
            </w:r>
          </w:p>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restart"/>
            <w:vAlign w:val="center"/>
          </w:tcPr>
          <w:p>
            <w:pPr>
              <w:overflowPunct w:val="0"/>
              <w:autoSpaceDE w:val="0"/>
              <w:autoSpaceDN w:val="0"/>
              <w:jc w:val="left"/>
              <w:rPr>
                <w:rFonts w:hint="eastAsia" w:ascii="方正仿宋_GBK" w:hAnsi="方正仿宋_GBK" w:eastAsia="方正仿宋_GBK" w:cs="方正仿宋_GBK"/>
                <w:b w:val="0"/>
                <w:bCs w:val="0"/>
                <w:kern w:val="0"/>
                <w:sz w:val="21"/>
                <w:szCs w:val="21"/>
                <w:lang w:val="en-US" w:eastAsia="zh-CN"/>
              </w:rPr>
            </w:pPr>
            <w:r>
              <w:rPr>
                <w:rFonts w:hint="eastAsia" w:ascii="方正仿宋_GBK" w:hAnsi="方正仿宋_GBK" w:eastAsia="方正仿宋_GBK" w:cs="方正仿宋_GBK"/>
                <w:b w:val="0"/>
                <w:bCs w:val="0"/>
                <w:kern w:val="0"/>
                <w:sz w:val="21"/>
                <w:szCs w:val="21"/>
                <w:lang w:val="en-US" w:eastAsia="zh-CN"/>
              </w:rPr>
              <w:t>苏州市公安局</w:t>
            </w:r>
          </w:p>
        </w:tc>
        <w:tc>
          <w:tcPr>
            <w:tcW w:w="546" w:type="dxa"/>
            <w:vMerge w:val="restart"/>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lang w:val="en-US" w:eastAsia="zh-CN"/>
              </w:rPr>
              <w:t>禁毒部门</w:t>
            </w:r>
          </w:p>
        </w:tc>
        <w:tc>
          <w:tcPr>
            <w:tcW w:w="840" w:type="dxa"/>
            <w:vMerge w:val="restart"/>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sz w:val="21"/>
                <w:szCs w:val="21"/>
                <w:lang w:val="en-US" w:eastAsia="zh-CN"/>
              </w:rPr>
              <w:t>易制毒化学品单位</w:t>
            </w:r>
          </w:p>
        </w:tc>
        <w:tc>
          <w:tcPr>
            <w:tcW w:w="4785" w:type="dxa"/>
            <w:vMerge w:val="restart"/>
            <w:vAlign w:val="center"/>
          </w:tcPr>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《易制毒化学品购销和运输管理办法》</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第二条  公安部是全国易制毒化学品购销、运输管理和监督检查的主管部门。</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县级以上地方人民政府公安机关负责本辖区内易制毒化学品购销、运输管理和监督检查工作。</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各省、自治区、直辖市和设区的市级人民政府公安机关禁毒部门应当设立易制毒化学品管理专门机构，县级人民政府公安机关应当设专门人员，负责易制毒化学品的购买、运输许可或者备案和监督检查工作。</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第二十六条</w:t>
            </w:r>
            <w:r>
              <w:rPr>
                <w:rFonts w:hint="eastAsia" w:ascii="方正仿宋_GBK" w:hAnsi="方正仿宋_GBK" w:eastAsia="方正仿宋_GBK" w:cs="方正仿宋_GBK"/>
                <w:b w:val="0"/>
                <w:bCs w:val="0"/>
                <w:sz w:val="21"/>
                <w:szCs w:val="21"/>
                <w:lang w:val="en-US" w:eastAsia="zh-CN"/>
              </w:rPr>
              <w:t xml:space="preserve"> </w:t>
            </w:r>
            <w:r>
              <w:rPr>
                <w:rFonts w:hint="eastAsia" w:ascii="方正仿宋_GBK" w:hAnsi="方正仿宋_GBK" w:eastAsia="方正仿宋_GBK" w:cs="方正仿宋_GBK"/>
                <w:b w:val="0"/>
                <w:bCs w:val="0"/>
                <w:sz w:val="21"/>
                <w:szCs w:val="21"/>
              </w:rPr>
              <w:t xml:space="preserve"> 县级以上人民政府公安机关应当加强对易制毒化学品购销和运输等情况的监督检查，有关单位和个人应当积极配合。对发现非法购销和运输行为的，公安机关应当依法查处。</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公安机关在进行易制毒化学品监督检查时，可以依法查看现场、查阅和复制有关资料、记录有关情况、扣押相关的证据材料和违法物品；必要时，可以临时查封有关场所。</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被检查的单位或者个人应当如实提供有关情况和材料、物品，不得拒绝或者隐匿。</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第二十八条  购买、销售和运输易制毒化学品的单位应当于每年三月三十一日前向所在地县级公安机关报告上年度的购买、销售和运输情况。公安机关发现可疑情况的，应当及时予以核对和检查，必要时可以进行实地核查。</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有条件的购买、销售和运输单位，可以与当地公安机关建立计算机联网，及时通报有关情况。</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sz w:val="21"/>
                <w:szCs w:val="21"/>
              </w:rPr>
              <w:t>第二十九条  易制毒化学品丢失、被盗、被抢的，发案单位应当立即向当地公安机关报告。接到报案的公安机关应当及时立案查处，并向上级公安机关报告。</w:t>
            </w:r>
          </w:p>
        </w:tc>
        <w:tc>
          <w:tcPr>
            <w:tcW w:w="800" w:type="dxa"/>
            <w:vMerge w:val="restart"/>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现场检查、书面检查</w:t>
            </w:r>
          </w:p>
        </w:tc>
        <w:tc>
          <w:tcPr>
            <w:tcW w:w="1017" w:type="dxa"/>
            <w:vMerge w:val="restart"/>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lang w:val="en-US" w:eastAsia="zh-CN"/>
              </w:rPr>
              <w:t>全</w:t>
            </w:r>
            <w:r>
              <w:rPr>
                <w:rFonts w:hint="eastAsia" w:ascii="方正仿宋_GBK" w:hAnsi="方正仿宋_GBK" w:eastAsia="方正仿宋_GBK" w:cs="方正仿宋_GBK"/>
                <w:b w:val="0"/>
                <w:bCs w:val="0"/>
                <w:kern w:val="0"/>
                <w:sz w:val="21"/>
                <w:szCs w:val="21"/>
              </w:rPr>
              <w:t>年</w:t>
            </w:r>
          </w:p>
        </w:tc>
        <w:tc>
          <w:tcPr>
            <w:tcW w:w="1225"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3202GA015000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对转借易制毒化学品购买、运输许可证、备案证明的处罚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320209987000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对使用现金、实物交易易制毒化学品的处罚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320209986000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对易制毒化学品丢失、被盗、被抢不报（未及时报告）的处罚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39"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320209985000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对使用他人的或者伪造、变造、失效的许可证或者备案证明生产、经营、购买、运输易制毒化学品的处罚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320209984000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对伪造申请材料骗取易制毒化学品生产、经营、购买或者运输许可证的处罚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07"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320209966000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对易制毒化学品生产、经营、购买、运输或者进口、出口单位未按规定建立安全管理制度的处罚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320209854000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对易制毒化学品的产品包装和使用说明书不符合规定要求的处罚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9"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320209845000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对经营易制毒化学品的单位未按规定报告易制毒化学品年度经销和库存情况的处罚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9"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320209752000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对易制毒化学品生产、使用企业和化工企业违反规定，未如实登记并报告相关信息的处罚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9"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320209445000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对拒不接受易制毒化学品监督检查的处罚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320209208000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对违规携带易制毒化学品的处罚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9"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320209207000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对超出购买许可证或者备案证明的品种、数量销售易制毒化学品的处罚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9"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320209206000</w:t>
            </w:r>
          </w:p>
        </w:tc>
        <w:tc>
          <w:tcPr>
            <w:tcW w:w="2544" w:type="dxa"/>
            <w:vAlign w:val="center"/>
          </w:tcPr>
          <w:p>
            <w:pPr>
              <w:keepNext w:val="0"/>
              <w:keepLines w:val="0"/>
              <w:widowControl/>
              <w:suppressLineNumbers w:val="0"/>
              <w:jc w:val="left"/>
              <w:textAlignment w:val="bottom"/>
              <w:rPr>
                <w:rFonts w:hint="eastAsia" w:ascii="方正仿宋_GBK" w:hAnsi="方正仿宋_GBK" w:eastAsia="方正仿宋_GBK" w:cs="方正仿宋_GBK"/>
                <w:b w:val="0"/>
                <w:bCs w:val="0"/>
                <w:kern w:val="0"/>
                <w:sz w:val="21"/>
                <w:szCs w:val="21"/>
                <w:shd w:val="clear" w:color="auto" w:fill="FFFFFF"/>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对向无购买许可证或者备案证明的单位或者个人销售易制毒化学品的处罚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6" w:hRule="atLeast"/>
          <w:jc w:val="center"/>
        </w:trPr>
        <w:tc>
          <w:tcPr>
            <w:tcW w:w="510" w:type="dxa"/>
            <w:vMerge w:val="restart"/>
            <w:vAlign w:val="center"/>
          </w:tcPr>
          <w:p>
            <w:pPr>
              <w:jc w:val="left"/>
              <w:rPr>
                <w:rFonts w:hint="default" w:ascii="Times New Roman" w:hAnsi="Times New Roman" w:eastAsia="宋体"/>
                <w:kern w:val="0"/>
                <w:sz w:val="18"/>
                <w:szCs w:val="18"/>
                <w:lang w:val="en-US" w:eastAsia="zh-CN"/>
              </w:rPr>
            </w:pPr>
            <w:r>
              <w:rPr>
                <w:rFonts w:hint="eastAsia" w:ascii="Times New Roman" w:hAnsi="Times New Roman"/>
                <w:kern w:val="0"/>
                <w:sz w:val="18"/>
                <w:szCs w:val="18"/>
                <w:lang w:val="en-US" w:eastAsia="zh-CN"/>
              </w:rPr>
              <w:t>12</w:t>
            </w:r>
          </w:p>
        </w:tc>
        <w:tc>
          <w:tcPr>
            <w:tcW w:w="1574" w:type="dxa"/>
            <w:vMerge w:val="restart"/>
            <w:vAlign w:val="center"/>
          </w:tcPr>
          <w:p>
            <w:pPr>
              <w:overflowPunct w:val="0"/>
              <w:autoSpaceDE w:val="0"/>
              <w:autoSpaceDN w:val="0"/>
              <w:jc w:val="left"/>
              <w:rPr>
                <w:rFonts w:hint="default" w:ascii="Times New Roman" w:hAnsi="Times New Roman" w:eastAsia="方正仿宋_GBK"/>
                <w:kern w:val="0"/>
                <w:sz w:val="18"/>
                <w:szCs w:val="18"/>
                <w:lang w:val="en-US" w:eastAsia="zh-CN"/>
              </w:rPr>
            </w:pPr>
            <w:r>
              <w:rPr>
                <w:rFonts w:hint="eastAsia" w:ascii="Times New Roman" w:hAnsi="方正仿宋_GBK" w:eastAsia="方正仿宋_GBK"/>
                <w:szCs w:val="21"/>
              </w:rPr>
              <w:t>对活动承办者及场所管理者落实安全工作措施情况</w:t>
            </w:r>
            <w:r>
              <w:rPr>
                <w:rFonts w:hint="eastAsia" w:ascii="Times New Roman" w:hAnsi="方正仿宋_GBK" w:eastAsia="方正仿宋_GBK"/>
                <w:szCs w:val="21"/>
                <w:lang w:val="en-US" w:eastAsia="zh-CN"/>
              </w:rPr>
              <w:t>的行政检查</w:t>
            </w:r>
          </w:p>
        </w:tc>
        <w:tc>
          <w:tcPr>
            <w:tcW w:w="570" w:type="dxa"/>
            <w:vMerge w:val="restart"/>
            <w:vAlign w:val="center"/>
          </w:tcPr>
          <w:p>
            <w:pPr>
              <w:overflowPunct w:val="0"/>
              <w:autoSpaceDE w:val="0"/>
              <w:autoSpaceDN w:val="0"/>
              <w:jc w:val="left"/>
              <w:rPr>
                <w:rFonts w:ascii="Times New Roman" w:hAnsi="Times New Roman"/>
                <w:kern w:val="0"/>
                <w:sz w:val="18"/>
                <w:szCs w:val="18"/>
              </w:rPr>
            </w:pPr>
            <w:r>
              <w:rPr>
                <w:rFonts w:hint="eastAsia" w:ascii="Times New Roman" w:hAnsi="方正仿宋_GBK" w:eastAsia="方正仿宋_GBK"/>
                <w:szCs w:val="21"/>
              </w:rPr>
              <w:t>苏州市公安局</w:t>
            </w:r>
          </w:p>
        </w:tc>
        <w:tc>
          <w:tcPr>
            <w:tcW w:w="546" w:type="dxa"/>
            <w:vMerge w:val="restart"/>
            <w:vAlign w:val="center"/>
          </w:tcPr>
          <w:p>
            <w:pPr>
              <w:overflowPunct w:val="0"/>
              <w:autoSpaceDE w:val="0"/>
              <w:autoSpaceDN w:val="0"/>
              <w:jc w:val="left"/>
              <w:rPr>
                <w:rFonts w:hint="default" w:ascii="Times New Roman" w:hAnsi="Times New Roman" w:eastAsia="宋体"/>
                <w:kern w:val="0"/>
                <w:sz w:val="18"/>
                <w:szCs w:val="18"/>
                <w:lang w:val="en-US" w:eastAsia="zh-CN"/>
              </w:rPr>
            </w:pPr>
            <w:r>
              <w:rPr>
                <w:rFonts w:hint="eastAsia" w:ascii="Times New Roman" w:hAnsi="方正仿宋_GBK" w:eastAsia="方正仿宋_GBK"/>
                <w:szCs w:val="21"/>
                <w:lang w:val="en-US" w:eastAsia="zh-CN"/>
              </w:rPr>
              <w:t>巡特警部门</w:t>
            </w:r>
          </w:p>
        </w:tc>
        <w:tc>
          <w:tcPr>
            <w:tcW w:w="840" w:type="dxa"/>
            <w:vMerge w:val="restart"/>
            <w:vAlign w:val="center"/>
          </w:tcPr>
          <w:p>
            <w:pPr>
              <w:overflowPunct w:val="0"/>
              <w:autoSpaceDE w:val="0"/>
              <w:autoSpaceDN w:val="0"/>
              <w:spacing w:line="320" w:lineRule="exact"/>
              <w:jc w:val="left"/>
              <w:rPr>
                <w:rFonts w:ascii="Times New Roman" w:hAnsi="Times New Roman"/>
                <w:kern w:val="0"/>
                <w:sz w:val="18"/>
                <w:szCs w:val="18"/>
              </w:rPr>
            </w:pPr>
            <w:r>
              <w:rPr>
                <w:rFonts w:hint="eastAsia" w:ascii="Times New Roman" w:hAnsi="方正仿宋_GBK" w:eastAsia="方正仿宋_GBK"/>
                <w:szCs w:val="21"/>
              </w:rPr>
              <w:t>活动承办者、场所管理者</w:t>
            </w:r>
          </w:p>
        </w:tc>
        <w:tc>
          <w:tcPr>
            <w:tcW w:w="4785" w:type="dxa"/>
            <w:vMerge w:val="restart"/>
            <w:vAlign w:val="center"/>
          </w:tcPr>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lang w:eastAsia="zh-CN"/>
              </w:rPr>
            </w:pPr>
            <w:r>
              <w:rPr>
                <w:rFonts w:hint="eastAsia" w:ascii="方正仿宋_GBK" w:hAnsi="方正仿宋_GBK" w:eastAsia="方正仿宋_GBK" w:cs="方正仿宋_GBK"/>
                <w:b w:val="0"/>
                <w:bCs w:val="0"/>
                <w:sz w:val="21"/>
                <w:szCs w:val="21"/>
                <w:lang w:eastAsia="zh-CN"/>
              </w:rPr>
              <w:t>《</w:t>
            </w:r>
            <w:r>
              <w:rPr>
                <w:rFonts w:hint="eastAsia" w:ascii="方正仿宋_GBK" w:hAnsi="方正仿宋_GBK" w:eastAsia="方正仿宋_GBK" w:cs="方正仿宋_GBK"/>
                <w:b w:val="0"/>
                <w:bCs w:val="0"/>
                <w:sz w:val="21"/>
                <w:szCs w:val="21"/>
              </w:rPr>
              <w:t>大型群众性活动安全管理条例</w:t>
            </w:r>
            <w:r>
              <w:rPr>
                <w:rFonts w:hint="eastAsia" w:ascii="方正仿宋_GBK" w:hAnsi="方正仿宋_GBK" w:eastAsia="方正仿宋_GBK" w:cs="方正仿宋_GBK"/>
                <w:b w:val="0"/>
                <w:bCs w:val="0"/>
                <w:sz w:val="21"/>
                <w:szCs w:val="21"/>
                <w:lang w:eastAsia="zh-CN"/>
              </w:rPr>
              <w:t>》</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第十条</w:t>
            </w:r>
            <w:r>
              <w:rPr>
                <w:rFonts w:hint="eastAsia" w:ascii="方正仿宋_GBK" w:hAnsi="方正仿宋_GBK" w:eastAsia="方正仿宋_GBK" w:cs="方正仿宋_GBK"/>
                <w:b w:val="0"/>
                <w:bCs w:val="0"/>
                <w:sz w:val="21"/>
                <w:szCs w:val="21"/>
                <w:lang w:eastAsia="zh-CN"/>
              </w:rPr>
              <w:t>第四项、第五项</w:t>
            </w:r>
            <w:r>
              <w:rPr>
                <w:rFonts w:hint="eastAsia" w:ascii="方正仿宋_GBK" w:hAnsi="方正仿宋_GBK" w:eastAsia="方正仿宋_GBK" w:cs="方正仿宋_GBK"/>
                <w:b w:val="0"/>
                <w:bCs w:val="0"/>
                <w:sz w:val="21"/>
                <w:szCs w:val="21"/>
                <w:lang w:val="en-US" w:eastAsia="zh-CN"/>
              </w:rPr>
              <w:t xml:space="preserve">  </w:t>
            </w:r>
            <w:r>
              <w:rPr>
                <w:rFonts w:hint="eastAsia" w:ascii="方正仿宋_GBK" w:hAnsi="方正仿宋_GBK" w:eastAsia="方正仿宋_GBK" w:cs="方正仿宋_GBK"/>
                <w:b w:val="0"/>
                <w:bCs w:val="0"/>
                <w:sz w:val="21"/>
                <w:szCs w:val="21"/>
              </w:rPr>
              <w:t>公安机关应当履行下列职责：</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 xml:space="preserve">（四）在大型群众性活动举办前，对活动场所组织安全检查，发现安全隐患及时责令改正； </w:t>
            </w:r>
          </w:p>
          <w:p>
            <w:pPr>
              <w:keepNext w:val="0"/>
              <w:keepLines w:val="0"/>
              <w:pageBreakBefore w:val="0"/>
              <w:widowControl/>
              <w:kinsoku/>
              <w:wordWrap/>
              <w:overflowPunct/>
              <w:topLinePunct w:val="0"/>
              <w:autoSpaceDE w:val="0"/>
              <w:autoSpaceDN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（五）在大型群众性活动举办过程中，对安全工作的落实情况实施监督检查，发现安全隐患及时责令改正；</w:t>
            </w:r>
          </w:p>
          <w:p>
            <w:pPr>
              <w:overflowPunct w:val="0"/>
              <w:adjustRightInd w:val="0"/>
              <w:snapToGrid w:val="0"/>
              <w:spacing w:line="240" w:lineRule="exact"/>
              <w:jc w:val="left"/>
              <w:rPr>
                <w:rFonts w:ascii="Times New Roman" w:hAnsi="Times New Roman" w:eastAsia="方正仿宋_GBK"/>
                <w:kern w:val="0"/>
                <w:szCs w:val="21"/>
                <w:shd w:val="clear" w:color="auto" w:fill="FFFFFF"/>
              </w:rPr>
            </w:pPr>
            <w:r>
              <w:rPr>
                <w:rFonts w:hint="eastAsia" w:ascii="Times New Roman" w:hAnsi="Times New Roman" w:eastAsia="方正仿宋_GBK"/>
                <w:kern w:val="0"/>
                <w:szCs w:val="21"/>
                <w:shd w:val="clear" w:color="auto" w:fill="FFFFFF"/>
              </w:rPr>
              <w:t>《营业性演出管理条例》</w:t>
            </w:r>
          </w:p>
          <w:p>
            <w:pPr>
              <w:overflowPunct w:val="0"/>
              <w:adjustRightInd w:val="0"/>
              <w:snapToGrid w:val="0"/>
              <w:spacing w:line="240" w:lineRule="exact"/>
              <w:jc w:val="left"/>
              <w:rPr>
                <w:rFonts w:ascii="Times New Roman" w:hAnsi="Times New Roman"/>
                <w:kern w:val="0"/>
                <w:sz w:val="18"/>
                <w:szCs w:val="18"/>
              </w:rPr>
            </w:pPr>
            <w:r>
              <w:rPr>
                <w:rFonts w:hint="eastAsia" w:ascii="Times New Roman" w:hAnsi="Times New Roman" w:eastAsia="方正仿宋_GBK"/>
                <w:kern w:val="0"/>
                <w:szCs w:val="21"/>
                <w:shd w:val="clear" w:color="auto" w:fill="FFFFFF"/>
              </w:rPr>
              <w:t>第三十六条</w:t>
            </w:r>
            <w:r>
              <w:rPr>
                <w:rFonts w:hint="eastAsia" w:ascii="Times New Roman" w:hAnsi="Times New Roman" w:eastAsia="方正仿宋_GBK"/>
                <w:kern w:val="0"/>
                <w:szCs w:val="21"/>
                <w:shd w:val="clear" w:color="auto" w:fill="FFFFFF"/>
                <w:lang w:val="en-US" w:eastAsia="zh-CN"/>
              </w:rPr>
              <w:t xml:space="preserve"> </w:t>
            </w:r>
            <w:r>
              <w:rPr>
                <w:rFonts w:hint="eastAsia" w:ascii="Times New Roman" w:hAnsi="Times New Roman" w:eastAsia="方正仿宋_GBK"/>
                <w:kern w:val="0"/>
                <w:szCs w:val="21"/>
                <w:shd w:val="clear" w:color="auto" w:fill="FFFFFF"/>
              </w:rPr>
              <w:t>公安部门对其依照有关法律、行政法规和国家有关规定批准的营业性演出，应当在演出举办前对营业性演出现场的安全状况进行实地检查；发现安全隐患的，在消除安全隐患后方可允许进行营业性演出。</w:t>
            </w:r>
          </w:p>
        </w:tc>
        <w:tc>
          <w:tcPr>
            <w:tcW w:w="800" w:type="dxa"/>
            <w:vMerge w:val="restart"/>
            <w:vAlign w:val="center"/>
          </w:tcPr>
          <w:p>
            <w:pPr>
              <w:overflowPunct w:val="0"/>
              <w:autoSpaceDE w:val="0"/>
              <w:autoSpaceDN w:val="0"/>
              <w:jc w:val="left"/>
              <w:rPr>
                <w:rFonts w:hint="eastAsia" w:ascii="Times New Roman" w:hAnsi="方正仿宋_GBK" w:eastAsia="方正仿宋_GBK"/>
                <w:szCs w:val="21"/>
              </w:rPr>
            </w:pPr>
            <w:r>
              <w:rPr>
                <w:rFonts w:hint="eastAsia" w:ascii="Times New Roman" w:hAnsi="方正仿宋_GBK" w:eastAsia="方正仿宋_GBK"/>
                <w:szCs w:val="21"/>
              </w:rPr>
              <w:t>现场</w:t>
            </w:r>
          </w:p>
          <w:p>
            <w:pPr>
              <w:overflowPunct w:val="0"/>
              <w:autoSpaceDE w:val="0"/>
              <w:autoSpaceDN w:val="0"/>
              <w:jc w:val="left"/>
              <w:rPr>
                <w:rFonts w:ascii="Times New Roman" w:hAnsi="Times New Roman"/>
                <w:kern w:val="0"/>
                <w:sz w:val="18"/>
                <w:szCs w:val="18"/>
              </w:rPr>
            </w:pPr>
            <w:r>
              <w:rPr>
                <w:rFonts w:hint="eastAsia" w:ascii="Times New Roman" w:hAnsi="方正仿宋_GBK" w:eastAsia="方正仿宋_GBK"/>
                <w:szCs w:val="21"/>
              </w:rPr>
              <w:t>检查</w:t>
            </w:r>
          </w:p>
        </w:tc>
        <w:tc>
          <w:tcPr>
            <w:tcW w:w="1017" w:type="dxa"/>
            <w:vMerge w:val="restart"/>
            <w:vAlign w:val="center"/>
          </w:tcPr>
          <w:p>
            <w:pPr>
              <w:jc w:val="left"/>
              <w:rPr>
                <w:rFonts w:ascii="Times New Roman" w:hAnsi="Times New Roman"/>
                <w:b/>
                <w:kern w:val="0"/>
                <w:sz w:val="18"/>
                <w:szCs w:val="18"/>
              </w:rPr>
            </w:pPr>
            <w:r>
              <w:rPr>
                <w:rFonts w:hint="eastAsia" w:ascii="Times New Roman" w:hAnsi="方正仿宋_GBK" w:eastAsia="方正仿宋_GBK"/>
                <w:szCs w:val="21"/>
                <w:lang w:val="en-US" w:eastAsia="zh-CN"/>
              </w:rPr>
              <w:t>全年（</w:t>
            </w:r>
            <w:r>
              <w:rPr>
                <w:rFonts w:hint="eastAsia" w:ascii="Times New Roman" w:hAnsi="方正仿宋_GBK" w:eastAsia="方正仿宋_GBK"/>
                <w:szCs w:val="21"/>
              </w:rPr>
              <w:t>根据活动举办频次开展检查</w:t>
            </w:r>
            <w:r>
              <w:rPr>
                <w:rFonts w:hint="eastAsia" w:ascii="Times New Roman" w:hAnsi="方正仿宋_GBK" w:eastAsia="方正仿宋_GBK"/>
                <w:szCs w:val="21"/>
                <w:lang w:val="en-US" w:eastAsia="zh-CN"/>
              </w:rPr>
              <w:t>）</w:t>
            </w:r>
          </w:p>
        </w:tc>
        <w:tc>
          <w:tcPr>
            <w:tcW w:w="1225" w:type="dxa"/>
            <w:vAlign w:val="center"/>
          </w:tcPr>
          <w:p>
            <w:pPr>
              <w:jc w:val="left"/>
              <w:rPr>
                <w:rFonts w:ascii="Times New Roman" w:hAnsi="Times New Roman"/>
                <w:b/>
                <w:kern w:val="0"/>
                <w:sz w:val="18"/>
                <w:szCs w:val="18"/>
              </w:rPr>
            </w:pPr>
            <w:r>
              <w:rPr>
                <w:rFonts w:hint="eastAsia" w:ascii="方正仿宋_GBK" w:hAnsi="方正仿宋_GBK" w:eastAsia="方正仿宋_GBK" w:cs="方正仿宋_GBK"/>
                <w:b w:val="0"/>
                <w:bCs w:val="0"/>
                <w:kern w:val="0"/>
                <w:sz w:val="21"/>
                <w:szCs w:val="21"/>
              </w:rPr>
              <w:t>320209234000</w:t>
            </w:r>
          </w:p>
        </w:tc>
        <w:tc>
          <w:tcPr>
            <w:tcW w:w="2544" w:type="dxa"/>
            <w:vAlign w:val="center"/>
          </w:tcPr>
          <w:p>
            <w:pPr>
              <w:jc w:val="left"/>
              <w:rPr>
                <w:rFonts w:hint="default" w:ascii="Times New Roman" w:hAnsi="Times New Roman" w:eastAsia="宋体"/>
                <w:b/>
                <w:kern w:val="0"/>
                <w:sz w:val="18"/>
                <w:szCs w:val="18"/>
                <w:lang w:val="en-US" w:eastAsia="zh-CN"/>
              </w:rPr>
            </w:pPr>
            <w:r>
              <w:rPr>
                <w:rFonts w:hint="eastAsia" w:ascii="方正仿宋_GBK" w:hAnsi="方正仿宋_GBK" w:eastAsia="方正仿宋_GBK" w:cs="方正仿宋_GBK"/>
                <w:b w:val="0"/>
                <w:bCs w:val="0"/>
                <w:kern w:val="0"/>
                <w:sz w:val="21"/>
                <w:szCs w:val="21"/>
                <w:shd w:val="clear" w:color="auto" w:fill="FFFFFF"/>
              </w:rPr>
              <w:t>对违反规定举办大型活动行为的处罚</w:t>
            </w:r>
          </w:p>
        </w:tc>
        <w:tc>
          <w:tcPr>
            <w:tcW w:w="483" w:type="dxa"/>
            <w:vMerge w:val="restart"/>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0" w:hRule="atLeast"/>
          <w:jc w:val="center"/>
        </w:trPr>
        <w:tc>
          <w:tcPr>
            <w:tcW w:w="510" w:type="dxa"/>
            <w:vMerge w:val="continue"/>
            <w:vAlign w:val="center"/>
          </w:tcPr>
          <w:p>
            <w:pPr>
              <w:jc w:val="left"/>
            </w:pPr>
          </w:p>
        </w:tc>
        <w:tc>
          <w:tcPr>
            <w:tcW w:w="1574" w:type="dxa"/>
            <w:vMerge w:val="continue"/>
            <w:vAlign w:val="center"/>
          </w:tcPr>
          <w:p>
            <w:pPr>
              <w:jc w:val="left"/>
            </w:pPr>
          </w:p>
        </w:tc>
        <w:tc>
          <w:tcPr>
            <w:tcW w:w="570" w:type="dxa"/>
            <w:vMerge w:val="continue"/>
            <w:vAlign w:val="center"/>
          </w:tcPr>
          <w:p>
            <w:pPr>
              <w:jc w:val="left"/>
            </w:pPr>
          </w:p>
        </w:tc>
        <w:tc>
          <w:tcPr>
            <w:tcW w:w="546" w:type="dxa"/>
            <w:vMerge w:val="continue"/>
            <w:vAlign w:val="center"/>
          </w:tcPr>
          <w:p>
            <w:pPr>
              <w:jc w:val="left"/>
            </w:pPr>
          </w:p>
        </w:tc>
        <w:tc>
          <w:tcPr>
            <w:tcW w:w="840" w:type="dxa"/>
            <w:vMerge w:val="continue"/>
            <w:vAlign w:val="center"/>
          </w:tcPr>
          <w:p>
            <w:pPr>
              <w:jc w:val="left"/>
            </w:pPr>
          </w:p>
        </w:tc>
        <w:tc>
          <w:tcPr>
            <w:tcW w:w="4785" w:type="dxa"/>
            <w:vMerge w:val="continue"/>
            <w:vAlign w:val="center"/>
          </w:tcPr>
          <w:p>
            <w:pPr>
              <w:jc w:val="left"/>
            </w:pPr>
          </w:p>
        </w:tc>
        <w:tc>
          <w:tcPr>
            <w:tcW w:w="800" w:type="dxa"/>
            <w:vMerge w:val="continue"/>
            <w:vAlign w:val="center"/>
          </w:tcPr>
          <w:p>
            <w:pPr>
              <w:jc w:val="left"/>
            </w:pPr>
          </w:p>
        </w:tc>
        <w:tc>
          <w:tcPr>
            <w:tcW w:w="1017" w:type="dxa"/>
            <w:vMerge w:val="continue"/>
            <w:vAlign w:val="center"/>
          </w:tcPr>
          <w:p>
            <w:pPr>
              <w:jc w:val="left"/>
            </w:pPr>
          </w:p>
        </w:tc>
        <w:tc>
          <w:tcPr>
            <w:tcW w:w="1225" w:type="dxa"/>
            <w:vAlign w:val="center"/>
          </w:tcPr>
          <w:p>
            <w:pPr>
              <w:jc w:val="left"/>
              <w:rPr>
                <w:rFonts w:ascii="Times New Roman" w:hAnsi="Times New Roman"/>
                <w:b/>
                <w:kern w:val="0"/>
                <w:sz w:val="18"/>
                <w:szCs w:val="18"/>
              </w:rPr>
            </w:pPr>
            <w:r>
              <w:rPr>
                <w:rFonts w:hint="eastAsia" w:ascii="方正仿宋_GBK" w:hAnsi="方正仿宋_GBK" w:eastAsia="方正仿宋_GBK" w:cs="方正仿宋_GBK"/>
                <w:b w:val="0"/>
                <w:bCs w:val="0"/>
                <w:kern w:val="0"/>
                <w:sz w:val="21"/>
                <w:szCs w:val="21"/>
              </w:rPr>
              <w:t>320209740000</w:t>
            </w:r>
          </w:p>
        </w:tc>
        <w:tc>
          <w:tcPr>
            <w:tcW w:w="2544" w:type="dxa"/>
            <w:vAlign w:val="center"/>
          </w:tcPr>
          <w:p>
            <w:pPr>
              <w:jc w:val="left"/>
              <w:rPr>
                <w:rFonts w:ascii="Times New Roman" w:hAnsi="Times New Roman"/>
                <w:b/>
                <w:kern w:val="0"/>
                <w:sz w:val="18"/>
                <w:szCs w:val="18"/>
              </w:rPr>
            </w:pPr>
            <w:r>
              <w:rPr>
                <w:rFonts w:hint="eastAsia" w:ascii="方正仿宋_GBK" w:hAnsi="方正仿宋_GBK" w:eastAsia="方正仿宋_GBK" w:cs="方正仿宋_GBK"/>
                <w:b w:val="0"/>
                <w:bCs w:val="0"/>
                <w:kern w:val="0"/>
                <w:sz w:val="21"/>
                <w:szCs w:val="21"/>
                <w:shd w:val="clear" w:color="auto" w:fill="FFFFFF"/>
              </w:rPr>
              <w:t>对扰乱大型群众性活动秩序的处罚</w:t>
            </w:r>
          </w:p>
        </w:tc>
        <w:tc>
          <w:tcPr>
            <w:tcW w:w="483" w:type="dxa"/>
            <w:vMerge w:val="continue"/>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4" w:hRule="atLeast"/>
          <w:jc w:val="center"/>
        </w:trPr>
        <w:tc>
          <w:tcPr>
            <w:tcW w:w="510" w:type="dxa"/>
            <w:vMerge w:val="continue"/>
            <w:vAlign w:val="center"/>
          </w:tcPr>
          <w:p>
            <w:pPr>
              <w:jc w:val="left"/>
            </w:pPr>
          </w:p>
        </w:tc>
        <w:tc>
          <w:tcPr>
            <w:tcW w:w="1574" w:type="dxa"/>
            <w:vMerge w:val="continue"/>
            <w:vAlign w:val="center"/>
          </w:tcPr>
          <w:p>
            <w:pPr>
              <w:jc w:val="left"/>
            </w:pPr>
          </w:p>
        </w:tc>
        <w:tc>
          <w:tcPr>
            <w:tcW w:w="570" w:type="dxa"/>
            <w:vMerge w:val="continue"/>
            <w:vAlign w:val="center"/>
          </w:tcPr>
          <w:p>
            <w:pPr>
              <w:jc w:val="left"/>
            </w:pPr>
          </w:p>
        </w:tc>
        <w:tc>
          <w:tcPr>
            <w:tcW w:w="546" w:type="dxa"/>
            <w:vMerge w:val="continue"/>
            <w:vAlign w:val="center"/>
          </w:tcPr>
          <w:p>
            <w:pPr>
              <w:jc w:val="left"/>
            </w:pPr>
          </w:p>
        </w:tc>
        <w:tc>
          <w:tcPr>
            <w:tcW w:w="840" w:type="dxa"/>
            <w:vMerge w:val="continue"/>
            <w:vAlign w:val="center"/>
          </w:tcPr>
          <w:p>
            <w:pPr>
              <w:jc w:val="left"/>
            </w:pPr>
          </w:p>
        </w:tc>
        <w:tc>
          <w:tcPr>
            <w:tcW w:w="4785" w:type="dxa"/>
            <w:vMerge w:val="continue"/>
            <w:vAlign w:val="center"/>
          </w:tcPr>
          <w:p>
            <w:pPr>
              <w:jc w:val="left"/>
            </w:pPr>
          </w:p>
        </w:tc>
        <w:tc>
          <w:tcPr>
            <w:tcW w:w="800" w:type="dxa"/>
            <w:vMerge w:val="continue"/>
            <w:vAlign w:val="center"/>
          </w:tcPr>
          <w:p>
            <w:pPr>
              <w:jc w:val="left"/>
            </w:pPr>
          </w:p>
        </w:tc>
        <w:tc>
          <w:tcPr>
            <w:tcW w:w="1017" w:type="dxa"/>
            <w:vMerge w:val="continue"/>
            <w:vAlign w:val="center"/>
          </w:tcPr>
          <w:p>
            <w:pPr>
              <w:jc w:val="left"/>
            </w:pPr>
          </w:p>
        </w:tc>
        <w:tc>
          <w:tcPr>
            <w:tcW w:w="1225" w:type="dxa"/>
            <w:vAlign w:val="center"/>
          </w:tcPr>
          <w:p>
            <w:pPr>
              <w:jc w:val="left"/>
              <w:rPr>
                <w:rFonts w:ascii="Times New Roman" w:hAnsi="Times New Roman"/>
                <w:b/>
                <w:kern w:val="0"/>
                <w:sz w:val="18"/>
                <w:szCs w:val="18"/>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320209269000</w:t>
            </w:r>
          </w:p>
        </w:tc>
        <w:tc>
          <w:tcPr>
            <w:tcW w:w="2544" w:type="dxa"/>
            <w:vAlign w:val="center"/>
          </w:tcPr>
          <w:p>
            <w:pPr>
              <w:jc w:val="left"/>
              <w:rPr>
                <w:rFonts w:ascii="Times New Roman" w:hAnsi="Times New Roman"/>
                <w:b/>
                <w:kern w:val="0"/>
                <w:sz w:val="18"/>
                <w:szCs w:val="18"/>
              </w:rPr>
            </w:pPr>
            <w:r>
              <w:rPr>
                <w:rFonts w:hint="eastAsia" w:ascii="Times New Roman" w:hAnsi="方正仿宋_GBK" w:eastAsia="方正仿宋_GBK"/>
                <w:szCs w:val="21"/>
                <w:lang w:val="en-US" w:eastAsia="zh-CN"/>
              </w:rPr>
              <w:t>对大型活动承办单位以及重点目标的管理单位未按规定进行安全检查的处罚</w:t>
            </w:r>
          </w:p>
        </w:tc>
        <w:tc>
          <w:tcPr>
            <w:tcW w:w="483" w:type="dxa"/>
            <w:vMerge w:val="continue"/>
            <w:vAlign w:val="center"/>
          </w:tcPr>
          <w:p>
            <w:pPr>
              <w:rPr>
                <w:rFonts w:ascii="Times New Roman" w:hAnsi="Times New Roman"/>
                <w:b/>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restart"/>
            <w:vAlign w:val="center"/>
          </w:tcPr>
          <w:p>
            <w:pPr>
              <w:jc w:val="left"/>
              <w:rPr>
                <w:rFonts w:hint="default" w:ascii="方正仿宋_GBK" w:hAnsi="方正仿宋_GBK" w:eastAsia="方正仿宋_GBK" w:cs="方正仿宋_GBK"/>
                <w:b w:val="0"/>
                <w:bCs w:val="0"/>
                <w:kern w:val="0"/>
                <w:sz w:val="21"/>
                <w:szCs w:val="21"/>
                <w:lang w:val="en-US" w:eastAsia="zh-CN"/>
              </w:rPr>
            </w:pPr>
            <w:r>
              <w:rPr>
                <w:rFonts w:hint="eastAsia" w:ascii="方正仿宋_GBK" w:hAnsi="方正仿宋_GBK" w:eastAsia="方正仿宋_GBK" w:cs="方正仿宋_GBK"/>
                <w:b w:val="0"/>
                <w:bCs w:val="0"/>
                <w:kern w:val="0"/>
                <w:sz w:val="21"/>
                <w:szCs w:val="21"/>
                <w:lang w:val="en-US" w:eastAsia="zh-CN"/>
              </w:rPr>
              <w:t>13</w:t>
            </w:r>
          </w:p>
        </w:tc>
        <w:tc>
          <w:tcPr>
            <w:tcW w:w="1574" w:type="dxa"/>
            <w:vMerge w:val="restart"/>
            <w:vAlign w:val="center"/>
          </w:tcPr>
          <w:p>
            <w:pPr>
              <w:widowControl/>
              <w:autoSpaceDE w:val="0"/>
              <w:autoSpaceDN w:val="0"/>
              <w:spacing w:line="240" w:lineRule="exact"/>
              <w:jc w:val="left"/>
              <w:rPr>
                <w:rFonts w:hint="eastAsia" w:ascii="方正仿宋_GBK" w:hAnsi="方正仿宋_GBK" w:eastAsia="方正仿宋_GBK" w:cs="方正仿宋_GBK"/>
                <w:b w:val="0"/>
                <w:bCs w:val="0"/>
                <w:kern w:val="0"/>
                <w:sz w:val="21"/>
                <w:szCs w:val="21"/>
                <w:lang w:eastAsia="zh-CN"/>
              </w:rPr>
            </w:pPr>
            <w:r>
              <w:rPr>
                <w:rFonts w:hint="eastAsia" w:ascii="方正仿宋_GBK" w:hAnsi="方正仿宋_GBK" w:eastAsia="方正仿宋_GBK" w:cs="方正仿宋_GBK"/>
                <w:b w:val="0"/>
                <w:bCs w:val="0"/>
                <w:sz w:val="21"/>
                <w:szCs w:val="21"/>
              </w:rPr>
              <w:t>对互联网服务提供者、</w:t>
            </w:r>
            <w:r>
              <w:rPr>
                <w:rFonts w:hint="eastAsia" w:ascii="方正仿宋_GBK" w:hAnsi="方正仿宋_GBK" w:eastAsia="方正仿宋_GBK" w:cs="方正仿宋_GBK"/>
                <w:b w:val="0"/>
                <w:bCs w:val="0"/>
                <w:sz w:val="21"/>
                <w:szCs w:val="21"/>
                <w:lang w:eastAsia="zh-CN"/>
              </w:rPr>
              <w:t>互</w:t>
            </w:r>
            <w:r>
              <w:rPr>
                <w:rFonts w:hint="eastAsia" w:ascii="方正仿宋_GBK" w:hAnsi="方正仿宋_GBK" w:eastAsia="方正仿宋_GBK" w:cs="方正仿宋_GBK"/>
                <w:b w:val="0"/>
                <w:bCs w:val="0"/>
                <w:sz w:val="21"/>
                <w:szCs w:val="21"/>
              </w:rPr>
              <w:t>联网使用单位履行法律、行政法规规定的网络安全义务情况的行政检查</w:t>
            </w:r>
          </w:p>
        </w:tc>
        <w:tc>
          <w:tcPr>
            <w:tcW w:w="570" w:type="dxa"/>
            <w:vMerge w:val="restart"/>
            <w:vAlign w:val="center"/>
          </w:tcPr>
          <w:p>
            <w:pPr>
              <w:widowControl/>
              <w:autoSpaceDE w:val="0"/>
              <w:autoSpaceDN w:val="0"/>
              <w:spacing w:line="240" w:lineRule="exact"/>
              <w:jc w:val="left"/>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lang w:val="en-US" w:eastAsia="zh-CN"/>
              </w:rPr>
              <w:t>苏州市公安局</w:t>
            </w:r>
          </w:p>
        </w:tc>
        <w:tc>
          <w:tcPr>
            <w:tcW w:w="546" w:type="dxa"/>
            <w:vMerge w:val="restart"/>
            <w:vAlign w:val="center"/>
          </w:tcPr>
          <w:p>
            <w:pPr>
              <w:widowControl/>
              <w:spacing w:line="240" w:lineRule="exact"/>
              <w:jc w:val="left"/>
              <w:rPr>
                <w:rFonts w:hint="eastAsia" w:ascii="方正仿宋_GBK" w:hAnsi="方正仿宋_GBK" w:eastAsia="方正仿宋_GBK" w:cs="方正仿宋_GBK"/>
                <w:b w:val="0"/>
                <w:bCs w:val="0"/>
                <w:kern w:val="0"/>
                <w:sz w:val="21"/>
                <w:szCs w:val="21"/>
                <w:lang w:val="en-US" w:eastAsia="zh-CN"/>
              </w:rPr>
            </w:pPr>
            <w:r>
              <w:rPr>
                <w:rFonts w:hint="eastAsia" w:ascii="方正仿宋_GBK" w:hAnsi="方正仿宋_GBK" w:eastAsia="方正仿宋_GBK" w:cs="方正仿宋_GBK"/>
                <w:b w:val="0"/>
                <w:bCs w:val="0"/>
                <w:sz w:val="21"/>
                <w:szCs w:val="21"/>
              </w:rPr>
              <w:t>网安部门</w:t>
            </w:r>
          </w:p>
        </w:tc>
        <w:tc>
          <w:tcPr>
            <w:tcW w:w="840" w:type="dxa"/>
            <w:vMerge w:val="restart"/>
            <w:vAlign w:val="center"/>
          </w:tcPr>
          <w:p>
            <w:pPr>
              <w:widowControl/>
              <w:spacing w:line="240" w:lineRule="exact"/>
              <w:jc w:val="left"/>
              <w:rPr>
                <w:rFonts w:hint="eastAsia" w:ascii="方正仿宋_GBK" w:hAnsi="方正仿宋_GBK" w:eastAsia="方正仿宋_GBK" w:cs="方正仿宋_GBK"/>
                <w:b w:val="0"/>
                <w:bCs w:val="0"/>
                <w:kern w:val="0"/>
                <w:sz w:val="21"/>
                <w:szCs w:val="21"/>
                <w:lang w:eastAsia="zh-CN"/>
              </w:rPr>
            </w:pPr>
            <w:r>
              <w:rPr>
                <w:rFonts w:hint="eastAsia" w:ascii="方正仿宋_GBK" w:hAnsi="方正仿宋_GBK" w:eastAsia="方正仿宋_GBK" w:cs="方正仿宋_GBK"/>
                <w:b w:val="0"/>
                <w:bCs w:val="0"/>
                <w:sz w:val="21"/>
                <w:szCs w:val="21"/>
              </w:rPr>
              <w:t>互联网服务提供者、</w:t>
            </w:r>
            <w:r>
              <w:rPr>
                <w:rFonts w:hint="eastAsia" w:ascii="方正仿宋_GBK" w:hAnsi="方正仿宋_GBK" w:eastAsia="方正仿宋_GBK" w:cs="方正仿宋_GBK"/>
                <w:b w:val="0"/>
                <w:bCs w:val="0"/>
                <w:sz w:val="21"/>
                <w:szCs w:val="21"/>
                <w:lang w:eastAsia="zh-CN"/>
              </w:rPr>
              <w:t>互</w:t>
            </w:r>
            <w:r>
              <w:rPr>
                <w:rFonts w:hint="eastAsia" w:ascii="方正仿宋_GBK" w:hAnsi="方正仿宋_GBK" w:eastAsia="方正仿宋_GBK" w:cs="方正仿宋_GBK"/>
                <w:b w:val="0"/>
                <w:bCs w:val="0"/>
                <w:sz w:val="21"/>
                <w:szCs w:val="21"/>
              </w:rPr>
              <w:t>联网使用单位</w:t>
            </w:r>
          </w:p>
        </w:tc>
        <w:tc>
          <w:tcPr>
            <w:tcW w:w="4785" w:type="dxa"/>
            <w:vMerge w:val="restart"/>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《中华人民共和国网络安全法》</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第</w:t>
            </w:r>
            <w:r>
              <w:rPr>
                <w:rFonts w:hint="eastAsia" w:ascii="方正仿宋_GBK" w:hAnsi="方正仿宋_GBK" w:eastAsia="方正仿宋_GBK" w:cs="方正仿宋_GBK"/>
                <w:b w:val="0"/>
                <w:bCs w:val="0"/>
                <w:kern w:val="0"/>
                <w:sz w:val="21"/>
                <w:szCs w:val="21"/>
                <w:lang w:eastAsia="zh-CN"/>
              </w:rPr>
              <w:t>九</w:t>
            </w:r>
            <w:r>
              <w:rPr>
                <w:rFonts w:hint="eastAsia" w:ascii="方正仿宋_GBK" w:hAnsi="方正仿宋_GBK" w:eastAsia="方正仿宋_GBK" w:cs="方正仿宋_GBK"/>
                <w:b w:val="0"/>
                <w:bCs w:val="0"/>
                <w:kern w:val="0"/>
                <w:sz w:val="21"/>
                <w:szCs w:val="21"/>
              </w:rPr>
              <w:t xml:space="preserve">条 </w:t>
            </w:r>
            <w:r>
              <w:rPr>
                <w:rFonts w:hint="eastAsia" w:ascii="方正仿宋_GBK" w:hAnsi="方正仿宋_GBK" w:eastAsia="方正仿宋_GBK" w:cs="方正仿宋_GBK"/>
                <w:b w:val="0"/>
                <w:bCs w:val="0"/>
                <w:kern w:val="0"/>
                <w:sz w:val="21"/>
                <w:szCs w:val="21"/>
                <w:lang w:val="en-US" w:eastAsia="zh-CN"/>
              </w:rPr>
              <w:t xml:space="preserve"> 国务院电信主管部门、公安部门和其他有关机关依照本法和有关法律、行政法规的规定，在各自职责范围内负责网络安全保护和监督管理工作。</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《中华人民共和国数据安全法》</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第六条第三款</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 xml:space="preserve"> 公安机关、国家安全机关等依照本法和有关法律、行政法规的规定，在各自职责范围内承担数据安全监管职责。</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《中华人民共和国个人信息保护法》</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第六十条</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 xml:space="preserve"> 国务院有关部门依照本法和有关法律、行政法规的规定，在各自职责范围内负责个人信息保护和监督管理工作。第六十三条</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履行个人信息保护职责的部门履行个人信息保护职责，可以采取下列措施：（三）实施现场检查，对涉嫌违法的个人信息处理活动进行调查。</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《互联网上网服务营业场所管理条例》</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 xml:space="preserve">第四条 </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公安机关负责对互联网上网服务营业场所经营单位的信息网络安全、治安及消防安全的监督管理。</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《计算机信息系统安全保护条例》</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 xml:space="preserve">第六条 </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公安部主管全国计算机信息系统安全保护工作。第十七条 公安机关对计算机信息系统安全保护工作行使下列监督职权：（一）监督、检查、指导计算机信息系统安全保护工作。</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《计算机信息网络国际联网安全保护管理办法》</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第三条</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公安部计算机管理监察机构负责计算机信息网络国际联网的安全保护管理工作。第十七条</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公安机关计算机管理监察机构应当督促互联单位、接入单位及有关用户建立健全安全保护管理制度。监督、检查网络安全保护管理以及技术措施的落实情况。</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《互联网安全保护技术措施规定》</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第五条</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公安机关公共信息网络安全监察部门负责对互联网安全保护技术措施的落实情况实施监督管理。</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第十六条</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公安机关应当依法对辖区内互联网服务提供者和联网使用单位安全保护技术措施的落实情况进行指导、监督和检查。</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《公安机关互联网安全监督检查规定》</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第二条</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本规定适用于公安机关依法对互联网服务提供者和联网使用单位履行法律、行政法规规定的网络安全义务情况进行的安全监督检查。</w:t>
            </w:r>
          </w:p>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 xml:space="preserve">第三条 </w:t>
            </w:r>
            <w:r>
              <w:rPr>
                <w:rFonts w:hint="eastAsia" w:ascii="方正仿宋_GBK" w:hAnsi="方正仿宋_GBK" w:eastAsia="方正仿宋_GBK" w:cs="方正仿宋_GBK"/>
                <w:b w:val="0"/>
                <w:bCs w:val="0"/>
                <w:kern w:val="0"/>
                <w:sz w:val="21"/>
                <w:szCs w:val="21"/>
                <w:lang w:val="en-US" w:eastAsia="zh-CN"/>
              </w:rPr>
              <w:t xml:space="preserve"> </w:t>
            </w:r>
            <w:r>
              <w:rPr>
                <w:rFonts w:hint="eastAsia" w:ascii="方正仿宋_GBK" w:hAnsi="方正仿宋_GBK" w:eastAsia="方正仿宋_GBK" w:cs="方正仿宋_GBK"/>
                <w:b w:val="0"/>
                <w:bCs w:val="0"/>
                <w:kern w:val="0"/>
                <w:sz w:val="21"/>
                <w:szCs w:val="21"/>
              </w:rPr>
              <w:t>互联网安全监督检查工作由县级以上地方人民政府公安机关网络安全保卫部门组织实施。</w:t>
            </w:r>
          </w:p>
        </w:tc>
        <w:tc>
          <w:tcPr>
            <w:tcW w:w="800" w:type="dxa"/>
            <w:vMerge w:val="restart"/>
            <w:vAlign w:val="center"/>
          </w:tcPr>
          <w:p>
            <w:pPr>
              <w:jc w:val="left"/>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现场检查</w:t>
            </w:r>
          </w:p>
        </w:tc>
        <w:tc>
          <w:tcPr>
            <w:tcW w:w="1017" w:type="dxa"/>
            <w:vMerge w:val="restart"/>
            <w:vAlign w:val="center"/>
          </w:tcPr>
          <w:p>
            <w:pPr>
              <w:jc w:val="left"/>
              <w:rPr>
                <w:rFonts w:hint="eastAsia" w:ascii="方正仿宋_GBK" w:hAnsi="方正仿宋_GBK" w:eastAsia="方正仿宋_GBK" w:cs="方正仿宋_GBK"/>
                <w:b w:val="0"/>
                <w:bCs w:val="0"/>
                <w:kern w:val="0"/>
                <w:sz w:val="21"/>
                <w:szCs w:val="21"/>
                <w:lang w:eastAsia="zh-CN"/>
              </w:rPr>
            </w:pPr>
            <w:r>
              <w:rPr>
                <w:rFonts w:hint="eastAsia" w:ascii="方正仿宋_GBK" w:hAnsi="方正仿宋_GBK" w:eastAsia="方正仿宋_GBK" w:cs="方正仿宋_GBK"/>
                <w:b w:val="0"/>
                <w:bCs w:val="0"/>
                <w:kern w:val="0"/>
                <w:sz w:val="21"/>
                <w:szCs w:val="21"/>
                <w:lang w:eastAsia="zh-CN"/>
              </w:rPr>
              <w:t>全年</w:t>
            </w:r>
          </w:p>
        </w:tc>
        <w:tc>
          <w:tcPr>
            <w:tcW w:w="1225" w:type="dxa"/>
            <w:vAlign w:val="center"/>
          </w:tcPr>
          <w:p>
            <w:pPr>
              <w:widowControl/>
              <w:jc w:val="left"/>
              <w:rPr>
                <w:rFonts w:hint="eastAsia" w:ascii="方正仿宋_GBK" w:hAnsi="方正仿宋_GBK" w:eastAsia="方正仿宋_GBK" w:cs="方正仿宋_GBK"/>
                <w:b w:val="0"/>
                <w:bCs w:val="0"/>
                <w:kern w:val="0"/>
                <w:sz w:val="21"/>
                <w:szCs w:val="21"/>
              </w:rPr>
            </w:pPr>
            <w:r>
              <w:rPr>
                <w:rFonts w:hint="eastAsia" w:ascii="方正仿宋_GBK" w:hAnsi="方正仿宋_GBK" w:eastAsia="方正仿宋_GBK" w:cs="方正仿宋_GBK"/>
                <w:b w:val="0"/>
                <w:bCs w:val="0"/>
                <w:kern w:val="0"/>
                <w:sz w:val="21"/>
                <w:szCs w:val="21"/>
              </w:rPr>
              <w:t>3202GA098000</w:t>
            </w:r>
          </w:p>
        </w:tc>
        <w:tc>
          <w:tcPr>
            <w:tcW w:w="2544" w:type="dxa"/>
            <w:vAlign w:val="center"/>
          </w:tcPr>
          <w:p>
            <w:pPr>
              <w:spacing w:line="240" w:lineRule="exact"/>
              <w:jc w:val="left"/>
              <w:rPr>
                <w:rFonts w:hint="eastAsia" w:ascii="方正仿宋_GBK" w:hAnsi="方正仿宋_GBK" w:eastAsia="方正仿宋_GBK" w:cs="方正仿宋_GBK"/>
                <w:b w:val="0"/>
                <w:bCs w:val="0"/>
                <w:kern w:val="0"/>
                <w:sz w:val="21"/>
                <w:szCs w:val="21"/>
                <w:lang w:eastAsia="zh-CN"/>
              </w:rPr>
            </w:pPr>
            <w:r>
              <w:rPr>
                <w:rFonts w:hint="eastAsia" w:ascii="方正仿宋_GBK" w:hAnsi="方正仿宋_GBK" w:eastAsia="方正仿宋_GBK" w:cs="方正仿宋_GBK"/>
                <w:b w:val="0"/>
                <w:bCs w:val="0"/>
                <w:kern w:val="0"/>
                <w:sz w:val="21"/>
                <w:szCs w:val="21"/>
              </w:rPr>
              <w:t>对网络运营者未按照规定要求用户提供真实身份信息，或者对不提供真实身份信息的用户提供相关服务的处罚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widowControl/>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3202GA107000</w:t>
            </w:r>
          </w:p>
        </w:tc>
        <w:tc>
          <w:tcPr>
            <w:tcW w:w="2544" w:type="dxa"/>
            <w:vAlign w:val="center"/>
          </w:tcPr>
          <w:p>
            <w:pPr>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对网络运营者对法律、行政法规禁止发布或者传输的信息未停止传输、采取消除等处置措施、保存有关记录的处罚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widowControl/>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3202GA108000</w:t>
            </w:r>
          </w:p>
        </w:tc>
        <w:tc>
          <w:tcPr>
            <w:tcW w:w="2544" w:type="dxa"/>
            <w:vAlign w:val="center"/>
          </w:tcPr>
          <w:p>
            <w:pPr>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对电子信息发送服务提供者、应用软件下载服务提供者不按照规定履行安全管理义务的处罚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3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widowControl/>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3202GA109000</w:t>
            </w:r>
          </w:p>
        </w:tc>
        <w:tc>
          <w:tcPr>
            <w:tcW w:w="2544" w:type="dxa"/>
            <w:vAlign w:val="center"/>
          </w:tcPr>
          <w:p>
            <w:pPr>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对网络运营者不按照有关部门的要求对法律、行政法规禁止发布或者传输的信息，采取停止传输、消除等处置措施的处罚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widowControl/>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3202GA091000</w:t>
            </w:r>
          </w:p>
        </w:tc>
        <w:tc>
          <w:tcPr>
            <w:tcW w:w="2544" w:type="dxa"/>
            <w:vAlign w:val="center"/>
          </w:tcPr>
          <w:p>
            <w:pPr>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对网络运营者拒绝、阻碍有关部门依法实施的监督检查的处罚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widowControl/>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3202GA092000</w:t>
            </w:r>
          </w:p>
        </w:tc>
        <w:tc>
          <w:tcPr>
            <w:tcW w:w="2544" w:type="dxa"/>
            <w:vAlign w:val="center"/>
          </w:tcPr>
          <w:p>
            <w:pPr>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对网络运营者拒不向公安机关、国家安全机关提供技术支持和协助的处罚</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widowControl/>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000709027000</w:t>
            </w:r>
          </w:p>
        </w:tc>
        <w:tc>
          <w:tcPr>
            <w:tcW w:w="2544" w:type="dxa"/>
            <w:vAlign w:val="center"/>
          </w:tcPr>
          <w:p>
            <w:pPr>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互联网上网服务营业场所中信息网络安全审批</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4"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widowControl/>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000709024000</w:t>
            </w:r>
          </w:p>
        </w:tc>
        <w:tc>
          <w:tcPr>
            <w:tcW w:w="2544" w:type="dxa"/>
            <w:vAlign w:val="center"/>
          </w:tcPr>
          <w:p>
            <w:pPr>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网络安全等级保护备案</w:t>
            </w:r>
          </w:p>
        </w:tc>
        <w:tc>
          <w:tcPr>
            <w:tcW w:w="483" w:type="dxa"/>
            <w:vAlign w:val="center"/>
          </w:tcPr>
          <w:p>
            <w:pPr>
              <w:rPr>
                <w:rFonts w:ascii="Times New Roman" w:hAnsi="Times New Roman"/>
                <w:b w:val="0"/>
                <w:bCs w:val="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46" w:hRule="atLeast"/>
          <w:jc w:val="center"/>
        </w:trPr>
        <w:tc>
          <w:tcPr>
            <w:tcW w:w="510" w:type="dxa"/>
            <w:vMerge w:val="continue"/>
            <w:vAlign w:val="center"/>
          </w:tcPr>
          <w:p>
            <w:pPr>
              <w:jc w:val="left"/>
              <w:rPr>
                <w:rFonts w:hint="eastAsia" w:ascii="方正仿宋_GBK" w:hAnsi="方正仿宋_GBK" w:eastAsia="方正仿宋_GBK" w:cs="方正仿宋_GBK"/>
                <w:b w:val="0"/>
                <w:bCs w:val="0"/>
                <w:kern w:val="0"/>
                <w:sz w:val="21"/>
                <w:szCs w:val="21"/>
              </w:rPr>
            </w:pPr>
          </w:p>
        </w:tc>
        <w:tc>
          <w:tcPr>
            <w:tcW w:w="1574"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570" w:type="dxa"/>
            <w:vMerge w:val="continue"/>
            <w:vAlign w:val="center"/>
          </w:tcPr>
          <w:p>
            <w:pPr>
              <w:overflowPunct w:val="0"/>
              <w:autoSpaceDE w:val="0"/>
              <w:autoSpaceDN w:val="0"/>
              <w:ind w:firstLine="420" w:firstLineChars="200"/>
              <w:jc w:val="left"/>
              <w:rPr>
                <w:rFonts w:hint="eastAsia" w:ascii="方正仿宋_GBK" w:hAnsi="方正仿宋_GBK" w:eastAsia="方正仿宋_GBK" w:cs="方正仿宋_GBK"/>
                <w:b w:val="0"/>
                <w:bCs w:val="0"/>
                <w:kern w:val="0"/>
                <w:sz w:val="21"/>
                <w:szCs w:val="21"/>
                <w:lang w:val="en-US" w:eastAsia="zh-CN"/>
              </w:rPr>
            </w:pPr>
          </w:p>
        </w:tc>
        <w:tc>
          <w:tcPr>
            <w:tcW w:w="546" w:type="dxa"/>
            <w:vMerge w:val="continue"/>
            <w:vAlign w:val="center"/>
          </w:tcPr>
          <w:p>
            <w:pPr>
              <w:overflowPunct w:val="0"/>
              <w:autoSpaceDE w:val="0"/>
              <w:autoSpaceDN w:val="0"/>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40" w:type="dxa"/>
            <w:vMerge w:val="continue"/>
            <w:vAlign w:val="center"/>
          </w:tcPr>
          <w:p>
            <w:pPr>
              <w:overflowPunct w:val="0"/>
              <w:autoSpaceDE w:val="0"/>
              <w:autoSpaceDN w:val="0"/>
              <w:spacing w:line="32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4785" w:type="dxa"/>
            <w:vMerge w:val="continue"/>
            <w:vAlign w:val="center"/>
          </w:tcPr>
          <w:p>
            <w:pPr>
              <w:keepNext w:val="0"/>
              <w:keepLines w:val="0"/>
              <w:pageBreakBefore w:val="0"/>
              <w:kinsoku/>
              <w:wordWrap/>
              <w:overflowPunct/>
              <w:topLinePunct w:val="0"/>
              <w:bidi w:val="0"/>
              <w:spacing w:line="240" w:lineRule="auto"/>
              <w:ind w:left="0" w:leftChars="0" w:right="0" w:rightChars="0" w:firstLine="420" w:firstLineChars="200"/>
              <w:jc w:val="left"/>
              <w:outlineLvl w:val="9"/>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800"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017" w:type="dxa"/>
            <w:vMerge w:val="continue"/>
            <w:vAlign w:val="center"/>
          </w:tcPr>
          <w:p>
            <w:pPr>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225" w:type="dxa"/>
            <w:vAlign w:val="center"/>
          </w:tcPr>
          <w:p>
            <w:pPr>
              <w:widowControl/>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000709025000</w:t>
            </w:r>
          </w:p>
        </w:tc>
        <w:tc>
          <w:tcPr>
            <w:tcW w:w="2544" w:type="dxa"/>
            <w:vAlign w:val="center"/>
          </w:tcPr>
          <w:p>
            <w:pPr>
              <w:spacing w:line="240" w:lineRule="exact"/>
              <w:jc w:val="left"/>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kern w:val="0"/>
                <w:sz w:val="21"/>
                <w:szCs w:val="21"/>
              </w:rPr>
              <w:t>国际联网备案</w:t>
            </w:r>
          </w:p>
        </w:tc>
        <w:tc>
          <w:tcPr>
            <w:tcW w:w="483" w:type="dxa"/>
            <w:vAlign w:val="center"/>
          </w:tcPr>
          <w:p>
            <w:pPr>
              <w:rPr>
                <w:rFonts w:ascii="Times New Roman" w:hAnsi="Times New Roman"/>
                <w:b w:val="0"/>
                <w:bCs w:val="0"/>
                <w:kern w:val="0"/>
                <w:sz w:val="18"/>
                <w:szCs w:val="18"/>
              </w:rPr>
            </w:pPr>
          </w:p>
        </w:tc>
      </w:tr>
    </w:tbl>
    <w:p>
      <w:pPr>
        <w:pStyle w:val="2"/>
      </w:pPr>
    </w:p>
    <w:p>
      <w:pPr>
        <w:pStyle w:val="2"/>
        <w:rPr>
          <w:rFonts w:asciiTheme="minorEastAsia" w:hAnsiTheme="minorEastAsia" w:eastAsiaTheme="minorEastAsia"/>
          <w:szCs w:val="21"/>
        </w:rPr>
      </w:pPr>
    </w:p>
    <w:p>
      <w:pPr>
        <w:pStyle w:val="2"/>
        <w:rPr>
          <w:rFonts w:asciiTheme="minorEastAsia" w:hAnsiTheme="minorEastAsia" w:eastAsiaTheme="minorEastAsia"/>
          <w:szCs w:val="21"/>
        </w:rPr>
      </w:pPr>
    </w:p>
    <w:p>
      <w:pPr>
        <w:rPr>
          <w:rFonts w:asciiTheme="minorEastAsia" w:eastAsiaTheme="minorEastAsia"/>
          <w:szCs w:val="21"/>
        </w:rPr>
      </w:pPr>
    </w:p>
    <w:sectPr>
      <w:pgSz w:w="16838" w:h="11906" w:orient="landscape"/>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6FF" w:usb1="420024FF" w:usb2="02000000" w:usb3="00000000" w:csb0="2000019F" w:csb1="00000000"/>
  </w:font>
  <w:font w:name="Calibri">
    <w:panose1 w:val="020F0502020204030204"/>
    <w:charset w:val="00"/>
    <w:family w:val="decorative"/>
    <w:pitch w:val="default"/>
    <w:sig w:usb0="E4002EFF" w:usb1="C200247B" w:usb2="00000009" w:usb3="00000000" w:csb0="200001FF" w:csb1="00000000"/>
  </w:font>
  <w:font w:name="Arial">
    <w:panose1 w:val="020B0604020202020204"/>
    <w:charset w:val="01"/>
    <w:family w:val="decorative"/>
    <w:pitch w:val="default"/>
    <w:sig w:usb0="E0002EFF" w:usb1="C000785B" w:usb2="00000009" w:usb3="00000000" w:csb0="400001FF" w:csb1="FFFF0000"/>
  </w:font>
  <w:font w:name="Courier New">
    <w:panose1 w:val="02070309020205020404"/>
    <w:charset w:val="01"/>
    <w:family w:val="swiss"/>
    <w:pitch w:val="default"/>
    <w:sig w:usb0="E0002E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汉鼎简大宋">
    <w:altName w:val="Arial Unicode MS"/>
    <w:panose1 w:val="00000000000000000000"/>
    <w:charset w:val="00"/>
    <w:family w:val="swiss"/>
    <w:pitch w:val="default"/>
    <w:sig w:usb0="00000000" w:usb1="00000000" w:usb2="00000010" w:usb3="00000000" w:csb0="00040000" w:csb1="00000000"/>
  </w:font>
  <w:font w:name="仿宋_GB2312">
    <w:panose1 w:val="02010609030101010101"/>
    <w:charset w:val="86"/>
    <w:family w:val="swiss"/>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方正书宋_GBK">
    <w:altName w:val="Arial Unicode MS"/>
    <w:panose1 w:val="02000000000000000000"/>
    <w:charset w:val="86"/>
    <w:family w:val="auto"/>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3E0"/>
    <w:rsid w:val="00064E6C"/>
    <w:rsid w:val="001B415E"/>
    <w:rsid w:val="001E2835"/>
    <w:rsid w:val="001E7A40"/>
    <w:rsid w:val="00252264"/>
    <w:rsid w:val="003728A7"/>
    <w:rsid w:val="003A7645"/>
    <w:rsid w:val="004F29CB"/>
    <w:rsid w:val="00597913"/>
    <w:rsid w:val="00846688"/>
    <w:rsid w:val="00AA16A7"/>
    <w:rsid w:val="00AB70D6"/>
    <w:rsid w:val="00AD33E0"/>
    <w:rsid w:val="00BB5B91"/>
    <w:rsid w:val="00C119A0"/>
    <w:rsid w:val="00D45288"/>
    <w:rsid w:val="00DE0910"/>
    <w:rsid w:val="00E20EA7"/>
    <w:rsid w:val="00ED45B8"/>
    <w:rsid w:val="01336C8A"/>
    <w:rsid w:val="04E620E3"/>
    <w:rsid w:val="053F6B65"/>
    <w:rsid w:val="0CB73F69"/>
    <w:rsid w:val="0DE545B5"/>
    <w:rsid w:val="0E2444C0"/>
    <w:rsid w:val="1401295F"/>
    <w:rsid w:val="1AAD1AD0"/>
    <w:rsid w:val="1CCD2F90"/>
    <w:rsid w:val="1E7A4A3F"/>
    <w:rsid w:val="25C32E03"/>
    <w:rsid w:val="272C4BE9"/>
    <w:rsid w:val="2B980BFF"/>
    <w:rsid w:val="2E697834"/>
    <w:rsid w:val="3036144B"/>
    <w:rsid w:val="33756A13"/>
    <w:rsid w:val="33995EB7"/>
    <w:rsid w:val="33DC11F1"/>
    <w:rsid w:val="36EB1726"/>
    <w:rsid w:val="36F206C5"/>
    <w:rsid w:val="3A687E44"/>
    <w:rsid w:val="3D2F08DD"/>
    <w:rsid w:val="3E7F2E08"/>
    <w:rsid w:val="41BA78AD"/>
    <w:rsid w:val="467F5D37"/>
    <w:rsid w:val="4A5B412A"/>
    <w:rsid w:val="4B8B2F80"/>
    <w:rsid w:val="4B94472E"/>
    <w:rsid w:val="4E1C7BA1"/>
    <w:rsid w:val="4F72368D"/>
    <w:rsid w:val="4FEC7BAB"/>
    <w:rsid w:val="52892AF8"/>
    <w:rsid w:val="535E3DD5"/>
    <w:rsid w:val="55832E67"/>
    <w:rsid w:val="565C7F57"/>
    <w:rsid w:val="56C105BC"/>
    <w:rsid w:val="5AF076C2"/>
    <w:rsid w:val="5BC5549E"/>
    <w:rsid w:val="5CAD212F"/>
    <w:rsid w:val="5F0977F9"/>
    <w:rsid w:val="64BA40F2"/>
    <w:rsid w:val="663F0B50"/>
    <w:rsid w:val="665803F5"/>
    <w:rsid w:val="66642E2D"/>
    <w:rsid w:val="6C9D3E82"/>
    <w:rsid w:val="6D1D4911"/>
    <w:rsid w:val="6E9E1B67"/>
    <w:rsid w:val="6FEF16BE"/>
    <w:rsid w:val="6FF85A4D"/>
    <w:rsid w:val="71193941"/>
    <w:rsid w:val="71A010A2"/>
    <w:rsid w:val="740F09F7"/>
    <w:rsid w:val="749C00E1"/>
    <w:rsid w:val="78205A13"/>
    <w:rsid w:val="785B39F2"/>
    <w:rsid w:val="7CDB55BD"/>
    <w:rsid w:val="7E016361"/>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4"/>
      <w:lang w:val="en-US" w:eastAsia="zh-CN" w:bidi="ar-SA"/>
    </w:rPr>
  </w:style>
  <w:style w:type="character" w:default="1" w:styleId="6">
    <w:name w:val="Default Paragraph Font"/>
    <w:unhideWhenUsed/>
    <w:qFormat/>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link w:val="15"/>
    <w:unhideWhenUsed/>
    <w:qFormat/>
    <w:uiPriority w:val="99"/>
    <w:pPr>
      <w:spacing w:after="120"/>
    </w:pPr>
  </w:style>
  <w:style w:type="paragraph" w:styleId="3">
    <w:name w:val="footer"/>
    <w:basedOn w:val="1"/>
    <w:link w:val="14"/>
    <w:unhideWhenUsed/>
    <w:qFormat/>
    <w:uiPriority w:val="99"/>
    <w:pPr>
      <w:snapToGrid w:val="0"/>
      <w:jc w:val="left"/>
    </w:pPr>
    <w:rPr>
      <w:sz w:val="18"/>
    </w:rPr>
  </w:style>
  <w:style w:type="paragraph" w:styleId="4">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0"/>
    <w:rPr>
      <w:rFonts w:ascii="Times New Roman" w:hAnsi="Times New Roman" w:cs="Times New Roman"/>
      <w:sz w:val="24"/>
    </w:rPr>
  </w:style>
  <w:style w:type="character" w:styleId="7">
    <w:name w:val="Strong"/>
    <w:basedOn w:val="6"/>
    <w:qFormat/>
    <w:uiPriority w:val="0"/>
    <w:rPr>
      <w:b/>
    </w:rPr>
  </w:style>
  <w:style w:type="character" w:styleId="8">
    <w:name w:val="FollowedHyperlink"/>
    <w:basedOn w:val="6"/>
    <w:unhideWhenUsed/>
    <w:qFormat/>
    <w:uiPriority w:val="99"/>
    <w:rPr>
      <w:color w:val="954F72" w:themeColor="followedHyperlink"/>
      <w:u w:val="single"/>
      <w14:textFill>
        <w14:solidFill>
          <w14:schemeClr w14:val="folHlink"/>
        </w14:solidFill>
      </w14:textFill>
    </w:rPr>
  </w:style>
  <w:style w:type="character" w:styleId="9">
    <w:name w:val="Hyperlink"/>
    <w:basedOn w:val="6"/>
    <w:unhideWhenUsed/>
    <w:qFormat/>
    <w:uiPriority w:val="99"/>
    <w:rPr>
      <w:color w:val="0563C1" w:themeColor="hyperlink"/>
      <w:u w:val="single"/>
      <w14:textFill>
        <w14:solidFill>
          <w14:schemeClr w14:val="hlink"/>
        </w14:solidFill>
      </w14:textFill>
    </w:rPr>
  </w:style>
  <w:style w:type="paragraph" w:customStyle="1" w:styleId="11">
    <w:name w:val="TOC1"/>
    <w:basedOn w:val="1"/>
    <w:next w:val="1"/>
    <w:qFormat/>
    <w:uiPriority w:val="0"/>
  </w:style>
  <w:style w:type="paragraph" w:customStyle="1" w:styleId="12">
    <w:name w:val="msonormal"/>
    <w:basedOn w:val="1"/>
    <w:qFormat/>
    <w:uiPriority w:val="0"/>
    <w:rPr>
      <w:rFonts w:ascii="Times New Roman" w:hAnsi="Times New Roman" w:cs="Times New Roman"/>
      <w:sz w:val="24"/>
    </w:rPr>
  </w:style>
  <w:style w:type="character" w:customStyle="1" w:styleId="13">
    <w:name w:val="页眉 字符"/>
    <w:basedOn w:val="6"/>
    <w:link w:val="4"/>
    <w:qFormat/>
    <w:uiPriority w:val="99"/>
    <w:rPr>
      <w:rFonts w:ascii="Calibri" w:hAnsi="Calibri" w:eastAsia="宋体" w:cs="Calibri"/>
      <w:sz w:val="18"/>
      <w:szCs w:val="18"/>
    </w:rPr>
  </w:style>
  <w:style w:type="character" w:customStyle="1" w:styleId="14">
    <w:name w:val="页脚 字符"/>
    <w:basedOn w:val="6"/>
    <w:link w:val="3"/>
    <w:qFormat/>
    <w:uiPriority w:val="99"/>
    <w:rPr>
      <w:rFonts w:ascii="Calibri" w:hAnsi="Calibri" w:eastAsia="宋体" w:cs="Calibri"/>
      <w:sz w:val="18"/>
      <w:szCs w:val="24"/>
    </w:rPr>
  </w:style>
  <w:style w:type="character" w:customStyle="1" w:styleId="15">
    <w:name w:val="正文文本 字符"/>
    <w:basedOn w:val="6"/>
    <w:link w:val="2"/>
    <w:semiHidden/>
    <w:qFormat/>
    <w:uiPriority w:val="99"/>
    <w:rPr>
      <w:rFonts w:ascii="Calibri" w:hAnsi="Calibri" w:eastAsia="宋体" w:cs="Calibri"/>
      <w:szCs w:val="24"/>
    </w:rPr>
  </w:style>
  <w:style w:type="paragraph" w:customStyle="1" w:styleId="16">
    <w:name w:val="文头"/>
    <w:basedOn w:val="1"/>
    <w:qFormat/>
    <w:uiPriority w:val="0"/>
    <w:pPr>
      <w:tabs>
        <w:tab w:val="left" w:pos="6663"/>
      </w:tabs>
      <w:spacing w:before="40" w:after="800" w:line="1640" w:lineRule="atLeast"/>
      <w:ind w:left="511" w:right="227" w:hanging="284"/>
      <w:jc w:val="distribute"/>
    </w:pPr>
    <w:rPr>
      <w:rFonts w:ascii="汉鼎简大宋" w:hAnsi="Times New Roman" w:eastAsia="汉鼎简大宋"/>
      <w:b/>
      <w:color w:val="FF0000"/>
      <w:w w:val="50"/>
      <w:sz w:val="13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2E07FD-CABC-443E-A5AF-C2635264480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17</Pages>
  <Words>1919</Words>
  <Characters>10942</Characters>
  <Lines>91</Lines>
  <Paragraphs>25</Paragraphs>
  <TotalTime>0</TotalTime>
  <ScaleCrop>false</ScaleCrop>
  <LinksUpToDate>false</LinksUpToDate>
  <CharactersWithSpaces>12836</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2026-03-24T01:53:00Z</dcterms:created>
  <dc:creator>AutoBVT</dc:creator>
  <cp:lastModifiedBy>1</cp:lastModifiedBy>
  <cp:lastPrinted>2026-03-26T06:36:00Z</cp:lastPrinted>
  <dcterms:modified xsi:type="dcterms:W3CDTF">2026-06-24T08:36:01Z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y fmtid="{D5CDD505-2E9C-101B-9397-08002B2CF9AE}" pid="3" name="ICV">
    <vt:lpwstr>81594C20B3E6438C9FE9BDC1291333F1_12</vt:lpwstr>
  </property>
</Properties>
</file>