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F20B6">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苏州市公安局202</w:t>
      </w:r>
      <w:r>
        <w:rPr>
          <w:rFonts w:hint="default" w:ascii="Times New Roman" w:hAnsi="Times New Roman" w:eastAsia="方正小标宋_GBK" w:cs="Times New Roman"/>
          <w:sz w:val="44"/>
          <w:szCs w:val="44"/>
          <w:highlight w:val="none"/>
          <w:lang w:val="en-US" w:eastAsia="zh-CN"/>
        </w:rPr>
        <w:t>5年</w:t>
      </w:r>
      <w:r>
        <w:rPr>
          <w:rFonts w:hint="default" w:ascii="Times New Roman" w:hAnsi="Times New Roman" w:eastAsia="方正小标宋_GBK" w:cs="Times New Roman"/>
          <w:sz w:val="44"/>
          <w:szCs w:val="44"/>
          <w:highlight w:val="none"/>
        </w:rPr>
        <w:t>度</w:t>
      </w:r>
    </w:p>
    <w:p w14:paraId="344715B5">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Times New Roman" w:hAnsi="Times New Roman" w:eastAsia="方正小标宋_GBK" w:cs="Times New Roman"/>
          <w:sz w:val="44"/>
          <w:szCs w:val="44"/>
          <w:highlight w:val="none"/>
        </w:rPr>
      </w:pPr>
      <w:r>
        <w:rPr>
          <w:rFonts w:hint="default" w:ascii="Times New Roman" w:hAnsi="Times New Roman" w:eastAsia="方正小标宋_GBK" w:cs="Times New Roman"/>
          <w:sz w:val="44"/>
          <w:szCs w:val="44"/>
          <w:highlight w:val="none"/>
        </w:rPr>
        <w:t>政府信息公开工作年度报告</w:t>
      </w:r>
    </w:p>
    <w:p w14:paraId="57A15757">
      <w:pPr>
        <w:keepNext w:val="0"/>
        <w:keepLines w:val="0"/>
        <w:pageBreakBefore w:val="0"/>
        <w:widowControl w:val="0"/>
        <w:kinsoku/>
        <w:wordWrap/>
        <w:overflowPunct/>
        <w:topLinePunct w:val="0"/>
        <w:autoSpaceDE/>
        <w:autoSpaceDN/>
        <w:bidi w:val="0"/>
        <w:adjustRightInd/>
        <w:snapToGrid/>
        <w:spacing w:line="760" w:lineRule="exact"/>
        <w:jc w:val="center"/>
        <w:textAlignment w:val="auto"/>
        <w:rPr>
          <w:rFonts w:hint="default" w:ascii="Times New Roman" w:hAnsi="Times New Roman" w:eastAsia="方正仿宋_GBK" w:cs="Times New Roman"/>
          <w:sz w:val="32"/>
          <w:szCs w:val="32"/>
          <w:highlight w:val="none"/>
        </w:rPr>
      </w:pPr>
    </w:p>
    <w:p w14:paraId="6C331C3B">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根据《中华人民共和国政府信息公开条例》</w:t>
      </w:r>
      <w:r>
        <w:rPr>
          <w:rFonts w:hint="eastAsia" w:ascii="Times New Roman" w:hAnsi="Times New Roman" w:eastAsia="方正仿宋_GBK" w:cs="Times New Roman"/>
          <w:color w:val="auto"/>
          <w:sz w:val="32"/>
          <w:szCs w:val="32"/>
          <w:highlight w:val="none"/>
          <w:lang w:val="en-US" w:eastAsia="zh-CN"/>
        </w:rPr>
        <w:t>和《国务院办公厅政府信息与政务公开办公室关于印发</w:t>
      </w:r>
      <w:r>
        <w:rPr>
          <w:rFonts w:hint="eastAsia" w:ascii="方正仿宋_GBK" w:hAnsi="方正仿宋_GBK" w:eastAsia="方正仿宋_GBK" w:cs="方正仿宋_GBK"/>
          <w:color w:val="auto"/>
          <w:sz w:val="32"/>
          <w:szCs w:val="32"/>
          <w:highlight w:val="none"/>
          <w:lang w:val="en-US" w:eastAsia="zh-CN"/>
        </w:rPr>
        <w:t>&lt;中华人民共和国政府信息公开工作年度报告格式&gt;的通知</w:t>
      </w:r>
      <w:r>
        <w:rPr>
          <w:rFonts w:hint="eastAsia" w:ascii="Times New Roman" w:hAnsi="Times New Roman" w:eastAsia="方正仿宋_GBK" w:cs="Times New Roman"/>
          <w:color w:val="auto"/>
          <w:sz w:val="32"/>
          <w:szCs w:val="32"/>
          <w:highlight w:val="none"/>
          <w:lang w:val="en-US" w:eastAsia="zh-CN"/>
        </w:rPr>
        <w:t>》有关要求</w:t>
      </w:r>
      <w:r>
        <w:rPr>
          <w:rFonts w:hint="default" w:ascii="Times New Roman" w:hAnsi="Times New Roman" w:eastAsia="方正仿宋_GBK" w:cs="Times New Roman"/>
          <w:color w:val="auto"/>
          <w:sz w:val="32"/>
          <w:szCs w:val="32"/>
          <w:highlight w:val="none"/>
        </w:rPr>
        <w:t>，现发布《苏州市公安局202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度政府信息公开工作年度报告》。全文包括总体情况，主动公开政府信息情况，收到和处理政府信息公开申请情况，政府信息公开行政复议、行政诉讼情况，政府信息公开工作存在的主要问题和改进措施等内容，本年报中所列数据的统计期限为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年1月1日至202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年12月31日。本局政府网站上可下载本报告的电子版。如对本报告有任何疑问，请联系苏州市公安局办公室，电话65225661-2013</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w:t>
      </w:r>
    </w:p>
    <w:p w14:paraId="7C751476">
      <w:pPr>
        <w:pStyle w:val="9"/>
        <w:keepNext w:val="0"/>
        <w:keepLines w:val="0"/>
        <w:pageBreakBefore w:val="0"/>
        <w:widowControl w:val="0"/>
        <w:numPr>
          <w:ilvl w:val="0"/>
          <w:numId w:val="1"/>
        </w:numPr>
        <w:kinsoku/>
        <w:wordWrap/>
        <w:overflowPunct w:val="0"/>
        <w:topLinePunct w:val="0"/>
        <w:autoSpaceDE/>
        <w:autoSpaceDN/>
        <w:bidi w:val="0"/>
        <w:adjustRightInd/>
        <w:snapToGrid/>
        <w:spacing w:line="560" w:lineRule="exact"/>
        <w:ind w:firstLineChars="0"/>
        <w:textAlignment w:val="auto"/>
        <w:rPr>
          <w:rFonts w:hint="default" w:ascii="Times New Roman" w:hAnsi="Times New Roman" w:eastAsia="方正黑体_GBK" w:cs="Times New Roman"/>
          <w:color w:val="auto"/>
          <w:sz w:val="32"/>
          <w:szCs w:val="32"/>
          <w:highlight w:val="none"/>
        </w:rPr>
      </w:pPr>
      <w:r>
        <w:rPr>
          <w:rFonts w:hint="default" w:ascii="Times New Roman" w:hAnsi="Times New Roman" w:eastAsia="方正黑体_GBK" w:cs="Times New Roman"/>
          <w:color w:val="auto"/>
          <w:sz w:val="32"/>
          <w:szCs w:val="32"/>
          <w:highlight w:val="none"/>
        </w:rPr>
        <w:t>总体情况</w:t>
      </w:r>
    </w:p>
    <w:p w14:paraId="507BA22C">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0"/>
          <w:sz w:val="32"/>
          <w:szCs w:val="32"/>
          <w:highlight w:val="none"/>
          <w:lang w:val="en-US" w:eastAsia="zh-CN"/>
        </w:rPr>
      </w:pPr>
      <w:r>
        <w:rPr>
          <w:rFonts w:hint="default" w:ascii="Times New Roman" w:hAnsi="Times New Roman" w:eastAsia="方正仿宋_GBK" w:cs="Times New Roman"/>
          <w:color w:val="auto"/>
          <w:kern w:val="0"/>
          <w:sz w:val="32"/>
          <w:szCs w:val="32"/>
          <w:highlight w:val="none"/>
        </w:rPr>
        <w:t>202</w:t>
      </w:r>
      <w:r>
        <w:rPr>
          <w:rFonts w:hint="default" w:ascii="Times New Roman" w:hAnsi="Times New Roman" w:eastAsia="方正仿宋_GBK" w:cs="Times New Roman"/>
          <w:color w:val="auto"/>
          <w:kern w:val="0"/>
          <w:sz w:val="32"/>
          <w:szCs w:val="32"/>
          <w:highlight w:val="none"/>
          <w:lang w:val="en-US" w:eastAsia="zh-CN"/>
        </w:rPr>
        <w:t>5</w:t>
      </w:r>
      <w:r>
        <w:rPr>
          <w:rFonts w:hint="default" w:ascii="Times New Roman" w:hAnsi="Times New Roman" w:eastAsia="方正仿宋_GBK" w:cs="Times New Roman"/>
          <w:color w:val="auto"/>
          <w:kern w:val="0"/>
          <w:sz w:val="32"/>
          <w:szCs w:val="32"/>
          <w:highlight w:val="none"/>
        </w:rPr>
        <w:t>年，苏州市公安局</w:t>
      </w:r>
      <w:r>
        <w:rPr>
          <w:rFonts w:hint="default" w:ascii="Times New Roman" w:hAnsi="Times New Roman" w:eastAsia="方正仿宋_GBK" w:cs="Times New Roman"/>
          <w:color w:val="auto"/>
          <w:kern w:val="0"/>
          <w:sz w:val="32"/>
          <w:szCs w:val="32"/>
          <w:highlight w:val="none"/>
          <w:lang w:val="en-US" w:eastAsia="zh-CN"/>
        </w:rPr>
        <w:t>以习近平新时代中国特色社会主义思想为指导，</w:t>
      </w:r>
      <w:r>
        <w:rPr>
          <w:rFonts w:hint="default" w:ascii="Times New Roman" w:hAnsi="Times New Roman" w:eastAsia="方正仿宋_GBK" w:cs="Times New Roman"/>
          <w:color w:val="auto"/>
          <w:kern w:val="0"/>
          <w:sz w:val="32"/>
          <w:szCs w:val="32"/>
          <w:highlight w:val="none"/>
        </w:rPr>
        <w:t>认真贯彻落实</w:t>
      </w:r>
      <w:r>
        <w:rPr>
          <w:rFonts w:hint="default" w:ascii="Times New Roman" w:hAnsi="Times New Roman" w:eastAsia="方正仿宋_GBK" w:cs="Times New Roman"/>
          <w:color w:val="auto"/>
          <w:kern w:val="0"/>
          <w:sz w:val="32"/>
          <w:szCs w:val="32"/>
          <w:highlight w:val="none"/>
          <w:lang w:val="en-US" w:eastAsia="zh-CN"/>
        </w:rPr>
        <w:t>国务院、省委省政府、市委市政府关于深化政府信息公开的决策部署，严格对照</w:t>
      </w:r>
      <w:r>
        <w:rPr>
          <w:rFonts w:hint="default" w:ascii="Times New Roman" w:hAnsi="Times New Roman" w:eastAsia="方正仿宋_GBK" w:cs="Times New Roman"/>
          <w:color w:val="auto"/>
          <w:kern w:val="0"/>
          <w:sz w:val="32"/>
          <w:szCs w:val="32"/>
          <w:highlight w:val="none"/>
        </w:rPr>
        <w:t>《中华人民共和国政府信息公开条例》等制度规定，</w:t>
      </w:r>
      <w:r>
        <w:rPr>
          <w:rFonts w:hint="default" w:ascii="Times New Roman" w:hAnsi="Times New Roman" w:eastAsia="方正仿宋_GBK" w:cs="Times New Roman"/>
          <w:color w:val="auto"/>
          <w:kern w:val="0"/>
          <w:sz w:val="32"/>
          <w:szCs w:val="32"/>
          <w:highlight w:val="none"/>
          <w:lang w:val="en-US" w:eastAsia="zh-CN"/>
        </w:rPr>
        <w:t>紧扣公安工作重点和社会关切热点，坚持以人民为中心，优化公开机制、丰富公开内容、拓展公开方式，扎实推进新时代政务公开，全方位服务推动高质量发展。</w:t>
      </w:r>
    </w:p>
    <w:p w14:paraId="137EC3DF">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楷体_GBK" w:cs="Times New Roman"/>
          <w:color w:val="auto"/>
          <w:sz w:val="32"/>
          <w:szCs w:val="32"/>
          <w:highlight w:val="none"/>
          <w:lang w:val="en-US" w:eastAsia="zh-CN"/>
        </w:rPr>
        <w:t>（一）常态主动公开提优服务</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kern w:val="0"/>
          <w:sz w:val="32"/>
          <w:szCs w:val="32"/>
          <w:highlight w:val="none"/>
          <w:lang w:val="en-US" w:eastAsia="zh-CN"/>
        </w:rPr>
        <w:t>坚持“公开为常态，不公开为例外”，不断加大主动公开的广度和力度，实现主动公开常态化、最优化。</w:t>
      </w:r>
      <w:r>
        <w:rPr>
          <w:rFonts w:hint="default" w:ascii="Times New Roman" w:hAnsi="Times New Roman" w:eastAsia="方正仿宋_GBK" w:cs="Times New Roman"/>
          <w:sz w:val="32"/>
          <w:szCs w:val="32"/>
          <w:highlight w:val="none"/>
        </w:rPr>
        <w:t>202</w:t>
      </w:r>
      <w:r>
        <w:rPr>
          <w:rFonts w:hint="default"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rPr>
        <w:t>年，市公安局共主动公开政府信息</w:t>
      </w:r>
      <w:r>
        <w:rPr>
          <w:rFonts w:hint="default" w:ascii="Times New Roman" w:hAnsi="Times New Roman" w:eastAsia="方正仿宋_GBK" w:cs="Times New Roman"/>
          <w:sz w:val="32"/>
          <w:szCs w:val="32"/>
          <w:highlight w:val="none"/>
          <w:lang w:val="en-US" w:eastAsia="zh-CN"/>
        </w:rPr>
        <w:t>18827</w:t>
      </w:r>
      <w:r>
        <w:rPr>
          <w:rFonts w:hint="default" w:ascii="Times New Roman" w:hAnsi="Times New Roman" w:eastAsia="方正仿宋_GBK" w:cs="Times New Roman"/>
          <w:sz w:val="32"/>
          <w:szCs w:val="32"/>
          <w:highlight w:val="none"/>
        </w:rPr>
        <w:t>条，全文电子化达100%</w:t>
      </w:r>
      <w:r>
        <w:rPr>
          <w:rFonts w:hint="eastAsia"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rPr>
        <w:t>其中，通过政府网站、政务微博、政务微信</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抖音公众号</w:t>
      </w:r>
      <w:r>
        <w:rPr>
          <w:rFonts w:hint="default" w:ascii="Times New Roman" w:hAnsi="Times New Roman" w:eastAsia="方正仿宋_GBK" w:cs="Times New Roman"/>
          <w:sz w:val="32"/>
          <w:szCs w:val="32"/>
          <w:highlight w:val="none"/>
        </w:rPr>
        <w:t>分别公开政府信息</w:t>
      </w:r>
      <w:r>
        <w:rPr>
          <w:rFonts w:hint="default" w:ascii="Times New Roman" w:hAnsi="Times New Roman" w:eastAsia="方正仿宋_GBK" w:cs="Times New Roman"/>
          <w:sz w:val="32"/>
          <w:szCs w:val="32"/>
          <w:highlight w:val="none"/>
          <w:lang w:val="en-US" w:eastAsia="zh-CN"/>
        </w:rPr>
        <w:t>725</w:t>
      </w:r>
      <w:r>
        <w:rPr>
          <w:rFonts w:hint="default" w:ascii="Times New Roman" w:hAnsi="Times New Roman" w:eastAsia="方正仿宋_GBK" w:cs="Times New Roman"/>
          <w:sz w:val="32"/>
          <w:szCs w:val="32"/>
          <w:highlight w:val="none"/>
        </w:rPr>
        <w:t>条、</w:t>
      </w:r>
      <w:r>
        <w:rPr>
          <w:rFonts w:hint="default" w:ascii="Times New Roman" w:hAnsi="Times New Roman" w:eastAsia="方正仿宋_GBK" w:cs="Times New Roman"/>
          <w:sz w:val="32"/>
          <w:szCs w:val="32"/>
          <w:highlight w:val="none"/>
          <w:lang w:val="en-US" w:eastAsia="zh-CN"/>
        </w:rPr>
        <w:t>16945</w:t>
      </w:r>
      <w:r>
        <w:rPr>
          <w:rFonts w:hint="default" w:ascii="Times New Roman" w:hAnsi="Times New Roman" w:eastAsia="方正仿宋_GBK" w:cs="Times New Roman"/>
          <w:sz w:val="32"/>
          <w:szCs w:val="32"/>
          <w:highlight w:val="none"/>
        </w:rPr>
        <w:t>条、</w:t>
      </w:r>
      <w:r>
        <w:rPr>
          <w:rFonts w:hint="default" w:ascii="Times New Roman" w:hAnsi="Times New Roman" w:eastAsia="方正仿宋_GBK" w:cs="Times New Roman"/>
          <w:sz w:val="32"/>
          <w:szCs w:val="32"/>
          <w:highlight w:val="none"/>
          <w:lang w:val="en-US" w:eastAsia="zh-CN"/>
        </w:rPr>
        <w:t>659</w:t>
      </w:r>
      <w:r>
        <w:rPr>
          <w:rFonts w:hint="default" w:ascii="Times New Roman" w:hAnsi="Times New Roman" w:eastAsia="方正仿宋_GBK" w:cs="Times New Roman"/>
          <w:sz w:val="32"/>
          <w:szCs w:val="32"/>
          <w:highlight w:val="none"/>
        </w:rPr>
        <w:t>条</w:t>
      </w:r>
      <w:r>
        <w:rPr>
          <w:rFonts w:hint="default" w:ascii="Times New Roman" w:hAnsi="Times New Roman" w:eastAsia="方正仿宋_GBK" w:cs="Times New Roman"/>
          <w:sz w:val="32"/>
          <w:szCs w:val="32"/>
          <w:highlight w:val="none"/>
          <w:lang w:eastAsia="zh-CN"/>
        </w:rPr>
        <w:t>、</w:t>
      </w:r>
      <w:r>
        <w:rPr>
          <w:rFonts w:hint="default" w:ascii="Times New Roman" w:hAnsi="Times New Roman" w:eastAsia="方正仿宋_GBK" w:cs="Times New Roman"/>
          <w:sz w:val="32"/>
          <w:szCs w:val="32"/>
          <w:highlight w:val="none"/>
          <w:lang w:val="en-US" w:eastAsia="zh-CN"/>
        </w:rPr>
        <w:t>498条</w:t>
      </w:r>
      <w:r>
        <w:rPr>
          <w:rFonts w:hint="eastAsia" w:ascii="Times New Roman" w:hAnsi="Times New Roman" w:eastAsia="方正仿宋_GBK" w:cs="Times New Roman"/>
          <w:sz w:val="32"/>
          <w:szCs w:val="32"/>
          <w:highlight w:val="none"/>
          <w:lang w:val="en-US" w:eastAsia="zh-CN"/>
        </w:rPr>
        <w:t>。</w:t>
      </w:r>
      <w:r>
        <w:rPr>
          <w:rFonts w:hint="default" w:ascii="Times New Roman" w:hAnsi="Times New Roman" w:eastAsia="方正仿宋_GBK" w:cs="Times New Roman"/>
          <w:sz w:val="32"/>
          <w:szCs w:val="32"/>
          <w:highlight w:val="none"/>
          <w:lang w:val="en-US" w:eastAsia="zh-CN"/>
        </w:rPr>
        <w:t>共处办“12345”热线工单64576件，受理“寒山闻钟”论坛前后台帖子12385个，办理总量位列市级机关单位第一，及时办理率、满意率均超全市平均水平</w:t>
      </w:r>
      <w:r>
        <w:rPr>
          <w:rFonts w:hint="default" w:ascii="Times New Roman" w:hAnsi="Times New Roman" w:eastAsia="方正仿宋_GBK" w:cs="Times New Roman"/>
          <w:sz w:val="32"/>
          <w:szCs w:val="32"/>
          <w:highlight w:val="none"/>
        </w:rPr>
        <w:t>，充分保障公众知情权、参与权和监督权</w:t>
      </w:r>
      <w:r>
        <w:rPr>
          <w:rFonts w:hint="default" w:ascii="Times New Roman" w:hAnsi="Times New Roman" w:eastAsia="方正仿宋_GBK" w:cs="Times New Roman"/>
          <w:sz w:val="32"/>
          <w:szCs w:val="32"/>
          <w:highlight w:val="none"/>
          <w:lang w:eastAsia="zh-CN"/>
        </w:rPr>
        <w:t>。</w:t>
      </w:r>
    </w:p>
    <w:p w14:paraId="6AC7C3EE">
      <w:pPr>
        <w:keepNext w:val="0"/>
        <w:keepLines w:val="0"/>
        <w:pageBreakBefore w:val="0"/>
        <w:widowControl w:val="0"/>
        <w:numPr>
          <w:ilvl w:val="0"/>
          <w:numId w:val="0"/>
        </w:numPr>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楷体_GBK" w:cs="Times New Roman"/>
          <w:color w:val="auto"/>
          <w:sz w:val="32"/>
          <w:szCs w:val="32"/>
          <w:highlight w:val="none"/>
        </w:rPr>
        <w:t>（二）</w:t>
      </w:r>
      <w:r>
        <w:rPr>
          <w:rFonts w:hint="default" w:ascii="Times New Roman" w:hAnsi="Times New Roman" w:eastAsia="方正楷体_GBK" w:cs="Times New Roman"/>
          <w:color w:val="auto"/>
          <w:sz w:val="32"/>
          <w:szCs w:val="32"/>
          <w:highlight w:val="none"/>
          <w:lang w:val="en-US" w:eastAsia="zh-CN"/>
        </w:rPr>
        <w:t>依申请公开提速办理</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坚持依法规范和便民服务相结合，加强沟通协调和信息共享，规范办理程序，提升答复质量，切实保障申请人的正当公开权益，认真帮助解决现实问题。</w:t>
      </w:r>
      <w:r>
        <w:rPr>
          <w:rFonts w:hint="default" w:ascii="Times New Roman" w:hAnsi="Times New Roman" w:eastAsia="方正仿宋_GBK" w:cs="Times New Roman"/>
          <w:color w:val="auto"/>
          <w:sz w:val="32"/>
          <w:szCs w:val="32"/>
          <w:highlight w:val="none"/>
        </w:rPr>
        <w:t>202</w:t>
      </w:r>
      <w:r>
        <w:rPr>
          <w:rFonts w:hint="default"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rPr>
        <w:t>年，市公安局共收到政府信息公开申请</w:t>
      </w:r>
      <w:r>
        <w:rPr>
          <w:rFonts w:hint="default" w:ascii="Times New Roman" w:hAnsi="Times New Roman" w:eastAsia="方正仿宋_GBK" w:cs="Times New Roman"/>
          <w:color w:val="auto"/>
          <w:sz w:val="32"/>
          <w:szCs w:val="32"/>
          <w:highlight w:val="none"/>
          <w:lang w:val="en-US" w:eastAsia="zh-CN"/>
        </w:rPr>
        <w:t>193</w:t>
      </w:r>
      <w:r>
        <w:rPr>
          <w:rFonts w:hint="default" w:ascii="Times New Roman" w:hAnsi="Times New Roman" w:eastAsia="方正仿宋_GBK" w:cs="Times New Roman"/>
          <w:color w:val="auto"/>
          <w:sz w:val="32"/>
          <w:szCs w:val="32"/>
          <w:highlight w:val="none"/>
        </w:rPr>
        <w:t>件，其中</w:t>
      </w:r>
      <w:r>
        <w:rPr>
          <w:rFonts w:hint="default" w:ascii="Times New Roman" w:hAnsi="Times New Roman" w:eastAsia="方正仿宋_GBK" w:cs="Times New Roman"/>
          <w:color w:val="auto"/>
          <w:sz w:val="32"/>
          <w:szCs w:val="32"/>
          <w:highlight w:val="none"/>
          <w:lang w:eastAsia="zh-CN"/>
        </w:rPr>
        <w:t>当</w:t>
      </w:r>
      <w:r>
        <w:rPr>
          <w:rFonts w:hint="default" w:ascii="Times New Roman" w:hAnsi="Times New Roman" w:eastAsia="方正仿宋_GBK" w:cs="Times New Roman"/>
          <w:color w:val="auto"/>
          <w:sz w:val="32"/>
          <w:szCs w:val="32"/>
          <w:highlight w:val="none"/>
        </w:rPr>
        <w:t>年度办结</w:t>
      </w:r>
      <w:r>
        <w:rPr>
          <w:rFonts w:hint="default" w:ascii="Times New Roman" w:hAnsi="Times New Roman" w:eastAsia="方正仿宋_GBK" w:cs="Times New Roman"/>
          <w:color w:val="auto"/>
          <w:sz w:val="32"/>
          <w:szCs w:val="32"/>
          <w:highlight w:val="none"/>
          <w:lang w:val="en-US" w:eastAsia="zh-CN"/>
        </w:rPr>
        <w:t>187</w:t>
      </w:r>
      <w:r>
        <w:rPr>
          <w:rFonts w:hint="default" w:ascii="Times New Roman" w:hAnsi="Times New Roman" w:eastAsia="方正仿宋_GBK" w:cs="Times New Roman"/>
          <w:color w:val="auto"/>
          <w:sz w:val="32"/>
          <w:szCs w:val="32"/>
          <w:highlight w:val="none"/>
        </w:rPr>
        <w:t>件，按要求结转下年度继续办理</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件。从申请来源看，</w:t>
      </w:r>
      <w:r>
        <w:rPr>
          <w:rFonts w:hint="default" w:ascii="Times New Roman" w:hAnsi="Times New Roman" w:eastAsia="方正仿宋_GBK" w:cs="Times New Roman"/>
          <w:color w:val="auto"/>
          <w:sz w:val="32"/>
          <w:szCs w:val="32"/>
          <w:highlight w:val="none"/>
          <w:lang w:val="en-US" w:eastAsia="zh-CN"/>
        </w:rPr>
        <w:t>主要为</w:t>
      </w:r>
      <w:r>
        <w:rPr>
          <w:rFonts w:hint="default" w:ascii="Times New Roman" w:hAnsi="Times New Roman" w:eastAsia="方正仿宋_GBK" w:cs="Times New Roman"/>
          <w:color w:val="auto"/>
          <w:sz w:val="32"/>
          <w:szCs w:val="32"/>
          <w:highlight w:val="none"/>
        </w:rPr>
        <w:t>自然人</w:t>
      </w:r>
      <w:r>
        <w:rPr>
          <w:rFonts w:hint="default" w:ascii="Times New Roman" w:hAnsi="Times New Roman" w:eastAsia="方正仿宋_GBK" w:cs="Times New Roman"/>
          <w:color w:val="auto"/>
          <w:sz w:val="32"/>
          <w:szCs w:val="32"/>
          <w:highlight w:val="none"/>
          <w:lang w:val="en-US" w:eastAsia="zh-CN"/>
        </w:rPr>
        <w:t>申请件（</w:t>
      </w:r>
      <w:r>
        <w:rPr>
          <w:rFonts w:hint="default" w:ascii="Times New Roman" w:hAnsi="Times New Roman" w:eastAsia="方正楷体_GBK" w:cs="Times New Roman"/>
          <w:color w:val="auto"/>
          <w:sz w:val="28"/>
          <w:szCs w:val="28"/>
          <w:highlight w:val="none"/>
          <w:lang w:val="en-US" w:eastAsia="zh-CN"/>
        </w:rPr>
        <w:t>单位申请</w:t>
      </w:r>
      <w:r>
        <w:rPr>
          <w:rFonts w:hint="default" w:ascii="Times New Roman" w:hAnsi="Times New Roman" w:eastAsia="方正楷体_GBK" w:cs="Times New Roman"/>
          <w:color w:val="auto"/>
          <w:sz w:val="28"/>
          <w:szCs w:val="28"/>
          <w:highlight w:val="none"/>
        </w:rPr>
        <w:t>件</w:t>
      </w:r>
      <w:r>
        <w:rPr>
          <w:rFonts w:hint="default" w:ascii="Times New Roman" w:hAnsi="Times New Roman" w:eastAsia="方正楷体_GBK" w:cs="Times New Roman"/>
          <w:color w:val="auto"/>
          <w:sz w:val="28"/>
          <w:szCs w:val="28"/>
          <w:highlight w:val="none"/>
          <w:lang w:val="en-US" w:eastAsia="zh-CN"/>
        </w:rPr>
        <w:t>仅5件）</w:t>
      </w:r>
      <w:r>
        <w:rPr>
          <w:rFonts w:hint="default" w:ascii="Times New Roman" w:hAnsi="Times New Roman" w:eastAsia="方正仿宋_GBK" w:cs="Times New Roman"/>
          <w:color w:val="auto"/>
          <w:sz w:val="32"/>
          <w:szCs w:val="32"/>
          <w:highlight w:val="none"/>
        </w:rPr>
        <w:t>；从申请渠道看，网络、信函是主要申请形式，申请量分别为</w:t>
      </w:r>
      <w:r>
        <w:rPr>
          <w:rFonts w:hint="default" w:ascii="Times New Roman" w:hAnsi="Times New Roman" w:eastAsia="方正仿宋_GBK" w:cs="Times New Roman"/>
          <w:color w:val="auto"/>
          <w:sz w:val="32"/>
          <w:szCs w:val="32"/>
          <w:highlight w:val="none"/>
          <w:lang w:val="en-US" w:eastAsia="zh-CN"/>
        </w:rPr>
        <w:t>172</w:t>
      </w:r>
      <w:r>
        <w:rPr>
          <w:rFonts w:hint="default" w:ascii="Times New Roman" w:hAnsi="Times New Roman" w:eastAsia="方正仿宋_GBK" w:cs="Times New Roman"/>
          <w:color w:val="auto"/>
          <w:sz w:val="32"/>
          <w:szCs w:val="32"/>
          <w:highlight w:val="none"/>
        </w:rPr>
        <w:t>件、</w:t>
      </w:r>
      <w:r>
        <w:rPr>
          <w:rFonts w:hint="default" w:ascii="Times New Roman" w:hAnsi="Times New Roman" w:eastAsia="方正仿宋_GBK" w:cs="Times New Roman"/>
          <w:color w:val="auto"/>
          <w:sz w:val="32"/>
          <w:szCs w:val="32"/>
          <w:highlight w:val="none"/>
          <w:lang w:val="en-US" w:eastAsia="zh-CN"/>
        </w:rPr>
        <w:t>21</w:t>
      </w:r>
      <w:r>
        <w:rPr>
          <w:rFonts w:hint="default" w:ascii="Times New Roman" w:hAnsi="Times New Roman" w:eastAsia="方正仿宋_GBK" w:cs="Times New Roman"/>
          <w:color w:val="auto"/>
          <w:sz w:val="32"/>
          <w:szCs w:val="32"/>
          <w:highlight w:val="none"/>
        </w:rPr>
        <w:t>件。共办结政府信息公开申请</w:t>
      </w:r>
      <w:r>
        <w:rPr>
          <w:rFonts w:hint="default" w:ascii="Times New Roman" w:hAnsi="Times New Roman" w:eastAsia="方正仿宋_GBK" w:cs="Times New Roman"/>
          <w:color w:val="auto"/>
          <w:sz w:val="32"/>
          <w:szCs w:val="32"/>
          <w:highlight w:val="none"/>
          <w:lang w:val="en-US" w:eastAsia="zh-CN"/>
        </w:rPr>
        <w:t>199</w:t>
      </w:r>
      <w:r>
        <w:rPr>
          <w:rFonts w:hint="default" w:ascii="Times New Roman" w:hAnsi="Times New Roman" w:eastAsia="方正仿宋_GBK" w:cs="Times New Roman"/>
          <w:color w:val="auto"/>
          <w:sz w:val="32"/>
          <w:szCs w:val="32"/>
          <w:highlight w:val="none"/>
        </w:rPr>
        <w:t>件</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其中包含</w:t>
      </w:r>
      <w:r>
        <w:rPr>
          <w:rFonts w:hint="default" w:ascii="Times New Roman" w:hAnsi="Times New Roman" w:eastAsia="方正仿宋_GBK" w:cs="Times New Roman"/>
          <w:color w:val="auto"/>
          <w:sz w:val="32"/>
          <w:szCs w:val="32"/>
          <w:highlight w:val="none"/>
        </w:rPr>
        <w:t>上年度结转的</w:t>
      </w:r>
      <w:r>
        <w:rPr>
          <w:rFonts w:hint="default" w:ascii="Times New Roman" w:hAnsi="Times New Roman" w:eastAsia="方正仿宋_GBK" w:cs="Times New Roman"/>
          <w:color w:val="auto"/>
          <w:sz w:val="32"/>
          <w:szCs w:val="32"/>
          <w:highlight w:val="none"/>
          <w:lang w:val="en-US" w:eastAsia="zh-CN"/>
        </w:rPr>
        <w:t>12</w:t>
      </w:r>
      <w:r>
        <w:rPr>
          <w:rFonts w:hint="default" w:ascii="Times New Roman" w:hAnsi="Times New Roman" w:eastAsia="方正仿宋_GBK" w:cs="Times New Roman"/>
          <w:color w:val="auto"/>
          <w:sz w:val="32"/>
          <w:szCs w:val="32"/>
          <w:highlight w:val="none"/>
        </w:rPr>
        <w:t>件。共受理因申请人不服</w:t>
      </w:r>
      <w:r>
        <w:rPr>
          <w:rFonts w:hint="default" w:ascii="Times New Roman" w:hAnsi="Times New Roman" w:eastAsia="方正仿宋_GBK" w:cs="Times New Roman"/>
          <w:color w:val="auto"/>
          <w:sz w:val="32"/>
          <w:szCs w:val="32"/>
          <w:highlight w:val="none"/>
          <w:lang w:eastAsia="zh-CN"/>
        </w:rPr>
        <w:t>政府信息公开答复</w:t>
      </w:r>
      <w:r>
        <w:rPr>
          <w:rFonts w:hint="default" w:ascii="Times New Roman" w:hAnsi="Times New Roman" w:eastAsia="方正仿宋_GBK" w:cs="Times New Roman"/>
          <w:color w:val="auto"/>
          <w:sz w:val="32"/>
          <w:szCs w:val="32"/>
          <w:highlight w:val="none"/>
        </w:rPr>
        <w:t>引起的行政复议案件</w:t>
      </w:r>
      <w:r>
        <w:rPr>
          <w:rFonts w:hint="default"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rPr>
        <w:t>件</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未产生</w:t>
      </w:r>
      <w:r>
        <w:rPr>
          <w:rFonts w:hint="default" w:ascii="Times New Roman" w:hAnsi="Times New Roman" w:eastAsia="方正仿宋_GBK" w:cs="Times New Roman"/>
          <w:color w:val="auto"/>
          <w:sz w:val="32"/>
          <w:szCs w:val="32"/>
          <w:highlight w:val="none"/>
        </w:rPr>
        <w:t>因申请人不服</w:t>
      </w:r>
      <w:r>
        <w:rPr>
          <w:rFonts w:hint="default" w:ascii="Times New Roman" w:hAnsi="Times New Roman" w:eastAsia="方正仿宋_GBK" w:cs="Times New Roman"/>
          <w:color w:val="auto"/>
          <w:sz w:val="32"/>
          <w:szCs w:val="32"/>
          <w:highlight w:val="none"/>
          <w:lang w:eastAsia="zh-CN"/>
        </w:rPr>
        <w:t>政府信息公开答复</w:t>
      </w:r>
      <w:r>
        <w:rPr>
          <w:rFonts w:hint="default" w:ascii="Times New Roman" w:hAnsi="Times New Roman" w:eastAsia="方正仿宋_GBK" w:cs="Times New Roman"/>
          <w:color w:val="auto"/>
          <w:sz w:val="32"/>
          <w:szCs w:val="32"/>
          <w:highlight w:val="none"/>
        </w:rPr>
        <w:t>引起的</w:t>
      </w:r>
      <w:r>
        <w:rPr>
          <w:rFonts w:hint="default" w:ascii="Times New Roman" w:hAnsi="Times New Roman" w:eastAsia="方正仿宋_GBK" w:cs="Times New Roman"/>
          <w:color w:val="auto"/>
          <w:kern w:val="0"/>
          <w:sz w:val="32"/>
          <w:szCs w:val="32"/>
          <w:highlight w:val="none"/>
        </w:rPr>
        <w:t>行政诉讼案件</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未</w:t>
      </w:r>
      <w:r>
        <w:rPr>
          <w:rFonts w:hint="default" w:ascii="Times New Roman" w:hAnsi="Times New Roman" w:eastAsia="方正仿宋_GBK" w:cs="Times New Roman"/>
          <w:color w:val="auto"/>
          <w:sz w:val="32"/>
          <w:szCs w:val="32"/>
          <w:highlight w:val="none"/>
        </w:rPr>
        <w:t>发生</w:t>
      </w:r>
      <w:r>
        <w:rPr>
          <w:rFonts w:hint="default" w:ascii="Times New Roman" w:hAnsi="Times New Roman" w:eastAsia="方正仿宋_GBK" w:cs="Times New Roman"/>
          <w:color w:val="auto"/>
          <w:sz w:val="32"/>
          <w:szCs w:val="32"/>
          <w:highlight w:val="none"/>
          <w:lang w:eastAsia="zh-CN"/>
        </w:rPr>
        <w:t>因</w:t>
      </w:r>
      <w:r>
        <w:rPr>
          <w:rFonts w:hint="default" w:ascii="Times New Roman" w:hAnsi="Times New Roman" w:eastAsia="方正仿宋_GBK" w:cs="Times New Roman"/>
          <w:color w:val="auto"/>
          <w:sz w:val="32"/>
          <w:szCs w:val="32"/>
          <w:highlight w:val="none"/>
        </w:rPr>
        <w:t>政府信息公开被行政复议纠错和行政</w:t>
      </w:r>
      <w:r>
        <w:rPr>
          <w:rFonts w:hint="default" w:ascii="Times New Roman" w:hAnsi="Times New Roman" w:eastAsia="方正仿宋_GBK" w:cs="Times New Roman"/>
          <w:color w:val="auto"/>
          <w:sz w:val="32"/>
          <w:szCs w:val="32"/>
          <w:highlight w:val="none"/>
          <w:lang w:val="en-US" w:eastAsia="zh-CN"/>
        </w:rPr>
        <w:t>诉讼</w:t>
      </w:r>
      <w:r>
        <w:rPr>
          <w:rFonts w:hint="default" w:ascii="Times New Roman" w:hAnsi="Times New Roman" w:eastAsia="方正仿宋_GBK" w:cs="Times New Roman"/>
          <w:color w:val="auto"/>
          <w:sz w:val="32"/>
          <w:szCs w:val="32"/>
          <w:highlight w:val="none"/>
        </w:rPr>
        <w:t>败诉。</w:t>
      </w:r>
    </w:p>
    <w:p w14:paraId="132CD5EE">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rPr>
        <w:t>（三）</w:t>
      </w:r>
      <w:r>
        <w:rPr>
          <w:rFonts w:hint="default" w:ascii="Times New Roman" w:hAnsi="Times New Roman" w:eastAsia="方正楷体_GBK" w:cs="Times New Roman"/>
          <w:color w:val="auto"/>
          <w:sz w:val="32"/>
          <w:szCs w:val="32"/>
          <w:highlight w:val="none"/>
          <w:lang w:val="en-US" w:eastAsia="zh-CN"/>
        </w:rPr>
        <w:t>严格</w:t>
      </w:r>
      <w:r>
        <w:rPr>
          <w:rFonts w:hint="default" w:ascii="Times New Roman" w:hAnsi="Times New Roman" w:eastAsia="方正楷体_GBK" w:cs="Times New Roman"/>
          <w:color w:val="auto"/>
          <w:sz w:val="32"/>
          <w:szCs w:val="32"/>
          <w:highlight w:val="none"/>
        </w:rPr>
        <w:t>信息管理</w:t>
      </w:r>
      <w:r>
        <w:rPr>
          <w:rFonts w:hint="default" w:ascii="Times New Roman" w:hAnsi="Times New Roman" w:eastAsia="方正楷体_GBK" w:cs="Times New Roman"/>
          <w:color w:val="auto"/>
          <w:sz w:val="32"/>
          <w:szCs w:val="32"/>
          <w:highlight w:val="none"/>
          <w:lang w:val="en-US" w:eastAsia="zh-CN"/>
        </w:rPr>
        <w:t>提标进位</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严格落实政府信息管理制度</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坚持政府信息“先审查、后公开”“一事一审”工作原则，所有发布的信息均经过业务部门审核、保密审查，分管领导审批等环节</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根据不同类型政府信息公开要求，科学合理确定公开方式，严把政治关、法律关、保密关、文字关，确保信息公开的有效性和准确性</w:t>
      </w:r>
      <w:r>
        <w:rPr>
          <w:rFonts w:hint="default" w:ascii="Times New Roman" w:hAnsi="Times New Roman" w:eastAsia="方正仿宋_GBK" w:cs="Times New Roman"/>
          <w:color w:val="auto"/>
          <w:sz w:val="32"/>
          <w:szCs w:val="32"/>
          <w:highlight w:val="none"/>
          <w:lang w:eastAsia="zh-CN"/>
        </w:rPr>
        <w:t>，统筹好政务公开和安全保密工作。</w:t>
      </w:r>
      <w:r>
        <w:rPr>
          <w:rFonts w:hint="default" w:ascii="Times New Roman" w:hAnsi="Times New Roman" w:eastAsia="方正仿宋_GBK" w:cs="Times New Roman"/>
          <w:color w:val="auto"/>
          <w:sz w:val="32"/>
          <w:szCs w:val="32"/>
          <w:highlight w:val="none"/>
          <w:lang w:val="en-US" w:eastAsia="zh-CN"/>
        </w:rPr>
        <w:t>强化规范性文件动态清理和集中规范发布工作，2025年市公安局制发1件规范性文件，并及时上传江苏省规章规范性文件数据库、苏州市规范性文件库，目前现行有效的9件行政规范性文件均已发布在省市两级规范性文件库及市公安局门户网站。</w:t>
      </w:r>
    </w:p>
    <w:p w14:paraId="19EA90CA">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楷体_GBK" w:cs="Times New Roman"/>
          <w:color w:val="auto"/>
          <w:sz w:val="32"/>
          <w:szCs w:val="32"/>
          <w:highlight w:val="none"/>
        </w:rPr>
        <w:t>（四）信息公开平台</w:t>
      </w:r>
      <w:r>
        <w:rPr>
          <w:rFonts w:hint="default" w:ascii="Times New Roman" w:hAnsi="Times New Roman" w:eastAsia="方正楷体_GBK" w:cs="Times New Roman"/>
          <w:color w:val="auto"/>
          <w:sz w:val="32"/>
          <w:szCs w:val="32"/>
          <w:highlight w:val="none"/>
          <w:lang w:val="en-US" w:eastAsia="zh-CN"/>
        </w:rPr>
        <w:t>建设提档升级</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深入推进政府网站集约化，动态调整、优化网站栏目，加强政府信息公开专栏建设。创新推进“苏州公安一体化在线政务服务平台”建设，将分散隔离的各类审批服务“小系统”整合集成为“大平台”，提供更丰富、更快捷的公安综合政务服务。</w:t>
      </w:r>
      <w:r>
        <w:rPr>
          <w:rFonts w:hint="default" w:ascii="Times New Roman" w:hAnsi="Times New Roman" w:eastAsia="方正仿宋_GBK" w:cs="Times New Roman"/>
          <w:color w:val="auto"/>
          <w:sz w:val="32"/>
          <w:szCs w:val="32"/>
          <w:highlight w:val="none"/>
        </w:rPr>
        <w:t>提升苏州公安新媒体规范化运营管理水平</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分级分类管理公安政务新媒体，</w:t>
      </w:r>
      <w:r>
        <w:rPr>
          <w:rFonts w:hint="default" w:ascii="Times New Roman" w:hAnsi="Times New Roman" w:eastAsia="方正仿宋_GBK" w:cs="Times New Roman"/>
          <w:color w:val="auto"/>
          <w:sz w:val="32"/>
          <w:szCs w:val="32"/>
          <w:highlight w:val="none"/>
        </w:rPr>
        <w:t>组织开展两轮次公安新媒体账号专项整治，</w:t>
      </w:r>
      <w:r>
        <w:rPr>
          <w:rFonts w:hint="default" w:ascii="Times New Roman" w:hAnsi="Times New Roman" w:eastAsia="方正仿宋_GBK" w:cs="Times New Roman"/>
          <w:color w:val="auto"/>
          <w:sz w:val="32"/>
          <w:szCs w:val="32"/>
          <w:highlight w:val="none"/>
          <w:lang w:val="en-US" w:eastAsia="zh-CN"/>
        </w:rPr>
        <w:t>注销了</w:t>
      </w:r>
      <w:r>
        <w:rPr>
          <w:rFonts w:hint="default" w:ascii="Times New Roman" w:hAnsi="Times New Roman" w:eastAsia="方正仿宋_GBK" w:cs="Times New Roman"/>
          <w:color w:val="auto"/>
          <w:sz w:val="32"/>
          <w:szCs w:val="32"/>
          <w:highlight w:val="none"/>
        </w:rPr>
        <w:t>22个运维管理不规范的新媒体账号，形成以“苏州公安微警务”为旗舰的新媒体矩阵，年均审核发布推文17000余篇，短视频约500部，10万+推文达150篇，年总触达量超4亿次。</w:t>
      </w:r>
    </w:p>
    <w:p w14:paraId="185F7E40">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rPr>
        <w:t>（五）</w:t>
      </w:r>
      <w:r>
        <w:rPr>
          <w:rFonts w:hint="default" w:ascii="Times New Roman" w:hAnsi="Times New Roman" w:eastAsia="方正楷体_GBK" w:cs="Times New Roman"/>
          <w:color w:val="auto"/>
          <w:sz w:val="32"/>
          <w:szCs w:val="32"/>
          <w:highlight w:val="none"/>
          <w:lang w:val="en-US" w:eastAsia="zh-CN"/>
        </w:rPr>
        <w:t>完善监督保障机制提神正气</w:t>
      </w:r>
      <w:r>
        <w:rPr>
          <w:rFonts w:hint="default" w:ascii="Times New Roman" w:hAnsi="Times New Roman" w:eastAsia="方正楷体_GBK" w:cs="Times New Roman"/>
          <w:color w:val="auto"/>
          <w:sz w:val="32"/>
          <w:szCs w:val="32"/>
          <w:highlight w:val="none"/>
        </w:rPr>
        <w:t>。</w:t>
      </w:r>
      <w:r>
        <w:rPr>
          <w:rFonts w:hint="default" w:ascii="Times New Roman" w:hAnsi="Times New Roman" w:eastAsia="方正仿宋_GBK" w:cs="Times New Roman"/>
          <w:color w:val="auto"/>
          <w:sz w:val="32"/>
          <w:szCs w:val="32"/>
          <w:highlight w:val="none"/>
        </w:rPr>
        <w:t>建立健全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制度闭环+刚性问责+多元监督+能力支撑</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的</w:t>
      </w:r>
      <w:r>
        <w:rPr>
          <w:rFonts w:hint="default" w:ascii="Times New Roman" w:hAnsi="Times New Roman" w:eastAsia="方正仿宋_GBK" w:cs="Times New Roman"/>
          <w:color w:val="auto"/>
          <w:sz w:val="32"/>
          <w:szCs w:val="32"/>
          <w:highlight w:val="none"/>
        </w:rPr>
        <w:t>监督</w:t>
      </w:r>
      <w:r>
        <w:rPr>
          <w:rFonts w:hint="default" w:ascii="Times New Roman" w:hAnsi="Times New Roman" w:eastAsia="方正仿宋_GBK" w:cs="Times New Roman"/>
          <w:color w:val="auto"/>
          <w:sz w:val="32"/>
          <w:szCs w:val="32"/>
          <w:highlight w:val="none"/>
          <w:lang w:val="en-US" w:eastAsia="zh-CN"/>
        </w:rPr>
        <w:t>保障</w:t>
      </w:r>
      <w:r>
        <w:rPr>
          <w:rFonts w:hint="default" w:ascii="Times New Roman" w:hAnsi="Times New Roman" w:eastAsia="方正仿宋_GBK" w:cs="Times New Roman"/>
          <w:color w:val="auto"/>
          <w:sz w:val="32"/>
          <w:szCs w:val="32"/>
          <w:highlight w:val="none"/>
        </w:rPr>
        <w:t>机制</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明确由一名局领导总负责，市局办公室</w:t>
      </w:r>
      <w:r>
        <w:rPr>
          <w:rFonts w:hint="eastAsia" w:ascii="Times New Roman" w:hAnsi="Times New Roman" w:eastAsia="方正仿宋_GBK" w:cs="Times New Roman"/>
          <w:color w:val="auto"/>
          <w:sz w:val="32"/>
          <w:szCs w:val="32"/>
          <w:highlight w:val="none"/>
          <w:lang w:val="en-US" w:eastAsia="zh-CN"/>
        </w:rPr>
        <w:t>、舆情工作站</w:t>
      </w:r>
      <w:r>
        <w:rPr>
          <w:rFonts w:hint="default" w:ascii="Times New Roman" w:hAnsi="Times New Roman" w:eastAsia="方正仿宋_GBK" w:cs="Times New Roman"/>
          <w:color w:val="auto"/>
          <w:sz w:val="32"/>
          <w:szCs w:val="32"/>
          <w:highlight w:val="none"/>
          <w:lang w:val="en-US" w:eastAsia="zh-CN"/>
        </w:rPr>
        <w:t>牵头，法制扎口信息公开工作的法律审核，</w:t>
      </w:r>
      <w:r>
        <w:rPr>
          <w:rFonts w:hint="eastAsia" w:ascii="Times New Roman" w:hAnsi="Times New Roman" w:eastAsia="方正仿宋_GBK" w:cs="Times New Roman"/>
          <w:color w:val="auto"/>
          <w:sz w:val="32"/>
          <w:szCs w:val="32"/>
          <w:highlight w:val="none"/>
          <w:lang w:val="en-US" w:eastAsia="zh-CN"/>
        </w:rPr>
        <w:t>治安</w:t>
      </w:r>
      <w:r>
        <w:rPr>
          <w:rFonts w:hint="default" w:ascii="Times New Roman" w:hAnsi="Times New Roman" w:eastAsia="方正仿宋_GBK" w:cs="Times New Roman"/>
          <w:color w:val="auto"/>
          <w:sz w:val="32"/>
          <w:szCs w:val="32"/>
          <w:highlight w:val="none"/>
          <w:lang w:val="en-US" w:eastAsia="zh-CN"/>
        </w:rPr>
        <w:t>、督审、警保等警种</w:t>
      </w:r>
      <w:r>
        <w:rPr>
          <w:rFonts w:hint="eastAsia" w:ascii="Times New Roman" w:hAnsi="Times New Roman" w:eastAsia="方正仿宋_GBK" w:cs="Times New Roman"/>
          <w:color w:val="auto"/>
          <w:sz w:val="32"/>
          <w:szCs w:val="32"/>
          <w:highlight w:val="none"/>
          <w:lang w:val="en-US" w:eastAsia="zh-CN"/>
        </w:rPr>
        <w:t>部门</w:t>
      </w:r>
      <w:r>
        <w:rPr>
          <w:rFonts w:hint="default" w:ascii="Times New Roman" w:hAnsi="Times New Roman" w:eastAsia="方正仿宋_GBK" w:cs="Times New Roman"/>
          <w:color w:val="auto"/>
          <w:sz w:val="32"/>
          <w:szCs w:val="32"/>
          <w:highlight w:val="none"/>
          <w:lang w:val="en-US" w:eastAsia="zh-CN"/>
        </w:rPr>
        <w:t>分工协作、紧密配合，切实压实全警种工作责任</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制定培训计划，创新培训形式，线上搭建学习交流小组，线下组织专题</w:t>
      </w:r>
      <w:r>
        <w:rPr>
          <w:rFonts w:hint="eastAsia" w:ascii="Times New Roman" w:hAnsi="Times New Roman" w:eastAsia="方正仿宋_GBK" w:cs="Times New Roman"/>
          <w:color w:val="auto"/>
          <w:sz w:val="32"/>
          <w:szCs w:val="32"/>
          <w:highlight w:val="none"/>
          <w:lang w:val="en-US" w:eastAsia="zh-CN"/>
        </w:rPr>
        <w:t>讲堂</w:t>
      </w:r>
      <w:r>
        <w:rPr>
          <w:rFonts w:hint="default" w:ascii="Times New Roman" w:hAnsi="Times New Roman" w:eastAsia="方正仿宋_GBK" w:cs="Times New Roman"/>
          <w:color w:val="auto"/>
          <w:sz w:val="32"/>
          <w:szCs w:val="32"/>
          <w:highlight w:val="none"/>
          <w:lang w:val="en-US" w:eastAsia="zh-CN"/>
        </w:rPr>
        <w:t>培训，夯实理论和政策基础，强化业务实操和交流研讨，不断提升政府信息公开工作人员的政策解读、风险防控、服务沟通、数字化应用等核心能力，为政务公开工作高质量发展</w:t>
      </w:r>
      <w:r>
        <w:rPr>
          <w:rFonts w:hint="eastAsia" w:ascii="Times New Roman" w:hAnsi="Times New Roman" w:eastAsia="方正仿宋_GBK" w:cs="Times New Roman"/>
          <w:color w:val="auto"/>
          <w:sz w:val="32"/>
          <w:szCs w:val="32"/>
          <w:highlight w:val="none"/>
          <w:lang w:val="en-US" w:eastAsia="zh-CN"/>
        </w:rPr>
        <w:t>提供</w:t>
      </w:r>
      <w:r>
        <w:rPr>
          <w:rFonts w:hint="default" w:ascii="Times New Roman" w:hAnsi="Times New Roman" w:eastAsia="方正仿宋_GBK" w:cs="Times New Roman"/>
          <w:color w:val="auto"/>
          <w:sz w:val="32"/>
          <w:szCs w:val="32"/>
          <w:highlight w:val="none"/>
          <w:lang w:val="en-US" w:eastAsia="zh-CN"/>
        </w:rPr>
        <w:t>坚实的人才支撑。</w:t>
      </w:r>
    </w:p>
    <w:p w14:paraId="7F0F9177">
      <w:pPr>
        <w:pStyle w:val="9"/>
        <w:numPr>
          <w:ilvl w:val="0"/>
          <w:numId w:val="1"/>
        </w:numPr>
        <w:overflowPunct w:val="0"/>
        <w:autoSpaceDE w:val="0"/>
        <w:autoSpaceDN w:val="0"/>
        <w:spacing w:line="560" w:lineRule="exact"/>
        <w:ind w:firstLineChars="0"/>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rPr>
        <w:t>主动公开政府信息情况</w:t>
      </w:r>
    </w:p>
    <w:tbl>
      <w:tblPr>
        <w:tblStyle w:val="5"/>
        <w:tblW w:w="9495" w:type="dxa"/>
        <w:jc w:val="center"/>
        <w:tblLayout w:type="autofit"/>
        <w:tblCellMar>
          <w:top w:w="0" w:type="dxa"/>
          <w:left w:w="0" w:type="dxa"/>
          <w:bottom w:w="0" w:type="dxa"/>
          <w:right w:w="0" w:type="dxa"/>
        </w:tblCellMar>
      </w:tblPr>
      <w:tblGrid>
        <w:gridCol w:w="2650"/>
        <w:gridCol w:w="1896"/>
        <w:gridCol w:w="1713"/>
        <w:gridCol w:w="3236"/>
      </w:tblGrid>
      <w:tr w14:paraId="7642B594">
        <w:tblPrEx>
          <w:tblCellMar>
            <w:top w:w="0" w:type="dxa"/>
            <w:left w:w="0" w:type="dxa"/>
            <w:bottom w:w="0" w:type="dxa"/>
            <w:right w:w="0" w:type="dxa"/>
          </w:tblCellMar>
        </w:tblPrEx>
        <w:trPr>
          <w:trHeight w:val="751" w:hRule="exact"/>
          <w:jc w:val="center"/>
        </w:trPr>
        <w:tc>
          <w:tcPr>
            <w:tcW w:w="9495" w:type="dxa"/>
            <w:gridSpan w:val="4"/>
            <w:tcBorders>
              <w:top w:val="single" w:color="auto" w:sz="8" w:space="0"/>
              <w:left w:val="single" w:color="auto" w:sz="8" w:space="0"/>
              <w:bottom w:val="single" w:color="auto" w:sz="4" w:space="0"/>
              <w:right w:val="single" w:color="auto" w:sz="8" w:space="0"/>
            </w:tcBorders>
            <w:shd w:val="clear" w:color="auto" w:fill="C6D9F1"/>
            <w:noWrap/>
            <w:tcMar>
              <w:top w:w="0" w:type="dxa"/>
              <w:left w:w="108" w:type="dxa"/>
              <w:bottom w:w="0" w:type="dxa"/>
              <w:right w:w="108" w:type="dxa"/>
            </w:tcMar>
            <w:vAlign w:val="center"/>
          </w:tcPr>
          <w:p w14:paraId="002A825D">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第二十条  第（一）项</w:t>
            </w:r>
          </w:p>
        </w:tc>
      </w:tr>
      <w:tr w14:paraId="6F8544F0">
        <w:tblPrEx>
          <w:tblCellMar>
            <w:top w:w="0" w:type="dxa"/>
            <w:left w:w="0" w:type="dxa"/>
            <w:bottom w:w="0" w:type="dxa"/>
            <w:right w:w="0" w:type="dxa"/>
          </w:tblCellMar>
        </w:tblPrEx>
        <w:trPr>
          <w:trHeight w:val="482" w:hRule="exact"/>
          <w:jc w:val="center"/>
        </w:trPr>
        <w:tc>
          <w:tcPr>
            <w:tcW w:w="2650"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E7B46BF">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信息内容</w:t>
            </w:r>
          </w:p>
        </w:tc>
        <w:tc>
          <w:tcPr>
            <w:tcW w:w="1896"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FAA1D9E">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本年制发件数</w:t>
            </w:r>
          </w:p>
        </w:tc>
        <w:tc>
          <w:tcPr>
            <w:tcW w:w="1713" w:type="dxa"/>
            <w:tcBorders>
              <w:top w:val="single" w:color="auto" w:sz="4" w:space="0"/>
              <w:left w:val="single" w:color="auto" w:sz="4" w:space="0"/>
              <w:bottom w:val="single" w:color="auto" w:sz="4" w:space="0"/>
              <w:right w:val="single" w:color="auto" w:sz="4" w:space="0"/>
            </w:tcBorders>
            <w:tcMar>
              <w:top w:w="0" w:type="dxa"/>
              <w:left w:w="108" w:type="dxa"/>
              <w:bottom w:w="0" w:type="dxa"/>
              <w:right w:w="108" w:type="dxa"/>
            </w:tcMar>
            <w:vAlign w:val="center"/>
          </w:tcPr>
          <w:p w14:paraId="44EA8D82">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本年废止件数</w:t>
            </w:r>
          </w:p>
        </w:tc>
        <w:tc>
          <w:tcPr>
            <w:tcW w:w="3236" w:type="dxa"/>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571C767">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现行有效件数</w:t>
            </w:r>
          </w:p>
        </w:tc>
      </w:tr>
      <w:tr w14:paraId="6C27C21A">
        <w:tblPrEx>
          <w:tblCellMar>
            <w:top w:w="0" w:type="dxa"/>
            <w:left w:w="0" w:type="dxa"/>
            <w:bottom w:w="0" w:type="dxa"/>
            <w:right w:w="0" w:type="dxa"/>
          </w:tblCellMar>
        </w:tblPrEx>
        <w:trPr>
          <w:trHeight w:val="485" w:hRule="exact"/>
          <w:jc w:val="center"/>
        </w:trPr>
        <w:tc>
          <w:tcPr>
            <w:tcW w:w="2650" w:type="dxa"/>
            <w:tcBorders>
              <w:top w:val="single" w:color="auto" w:sz="4"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291B55D5">
            <w:pPr>
              <w:widowControl/>
              <w:spacing w:line="240" w:lineRule="exact"/>
              <w:jc w:val="left"/>
              <w:rPr>
                <w:rFonts w:hint="default" w:ascii="Times New Roman" w:hAnsi="Times New Roman" w:eastAsia="方正仿宋_GBK" w:cs="Times New Roman"/>
                <w:color w:val="000000"/>
                <w:sz w:val="22"/>
                <w:szCs w:val="22"/>
                <w:highlight w:val="none"/>
              </w:rPr>
            </w:pPr>
            <w:r>
              <w:rPr>
                <w:rFonts w:hint="default" w:ascii="Times New Roman" w:hAnsi="Times New Roman" w:eastAsia="方正仿宋_GBK" w:cs="Times New Roman"/>
                <w:color w:val="000000"/>
                <w:sz w:val="22"/>
                <w:szCs w:val="22"/>
                <w:highlight w:val="none"/>
              </w:rPr>
              <w:t>规章</w:t>
            </w:r>
          </w:p>
        </w:tc>
        <w:tc>
          <w:tcPr>
            <w:tcW w:w="1896" w:type="dxa"/>
            <w:tcBorders>
              <w:top w:val="single" w:color="auto" w:sz="4" w:space="0"/>
              <w:left w:val="nil"/>
              <w:bottom w:val="single" w:color="auto" w:sz="8" w:space="0"/>
              <w:right w:val="single" w:color="auto" w:sz="8" w:space="0"/>
            </w:tcBorders>
            <w:noWrap/>
            <w:tcMar>
              <w:top w:w="0" w:type="dxa"/>
              <w:left w:w="108" w:type="dxa"/>
              <w:bottom w:w="0" w:type="dxa"/>
              <w:right w:w="108" w:type="dxa"/>
            </w:tcMar>
            <w:vAlign w:val="center"/>
          </w:tcPr>
          <w:p w14:paraId="3D880F94">
            <w:pPr>
              <w:widowControl/>
              <w:spacing w:line="240" w:lineRule="exact"/>
              <w:jc w:val="center"/>
              <w:rPr>
                <w:rFonts w:hint="default" w:ascii="Times New Roman" w:hAnsi="Times New Roman" w:eastAsia="方正仿宋_GBK" w:cs="Times New Roman"/>
                <w:sz w:val="22"/>
                <w:szCs w:val="22"/>
                <w:highlight w:val="none"/>
                <w:lang w:eastAsia="zh-CN"/>
              </w:rPr>
            </w:pPr>
            <w:r>
              <w:rPr>
                <w:rFonts w:hint="default" w:ascii="Times New Roman" w:hAnsi="Times New Roman" w:eastAsia="方正仿宋_GBK" w:cs="Times New Roman"/>
                <w:sz w:val="22"/>
                <w:szCs w:val="22"/>
                <w:highlight w:val="none"/>
                <w:lang w:val="en-US" w:eastAsia="zh-CN"/>
              </w:rPr>
              <w:t>-</w:t>
            </w:r>
          </w:p>
        </w:tc>
        <w:tc>
          <w:tcPr>
            <w:tcW w:w="1713" w:type="dxa"/>
            <w:tcBorders>
              <w:top w:val="single" w:color="auto" w:sz="4" w:space="0"/>
              <w:left w:val="nil"/>
              <w:bottom w:val="single" w:color="auto" w:sz="8" w:space="0"/>
              <w:right w:val="single" w:color="auto" w:sz="8" w:space="0"/>
            </w:tcBorders>
            <w:tcMar>
              <w:top w:w="0" w:type="dxa"/>
              <w:left w:w="108" w:type="dxa"/>
              <w:bottom w:w="0" w:type="dxa"/>
              <w:right w:w="108" w:type="dxa"/>
            </w:tcMar>
            <w:vAlign w:val="center"/>
          </w:tcPr>
          <w:p w14:paraId="473B5D72">
            <w:pPr>
              <w:widowControl/>
              <w:spacing w:line="240" w:lineRule="exact"/>
              <w:jc w:val="center"/>
              <w:rPr>
                <w:rFonts w:hint="default" w:ascii="Times New Roman" w:hAnsi="Times New Roman" w:eastAsia="方正仿宋_GBK" w:cs="Times New Roman"/>
                <w:sz w:val="22"/>
                <w:szCs w:val="22"/>
                <w:highlight w:val="none"/>
              </w:rPr>
            </w:pPr>
            <w:r>
              <w:rPr>
                <w:rFonts w:hint="default" w:ascii="Times New Roman" w:hAnsi="Times New Roman" w:eastAsia="方正仿宋_GBK" w:cs="Times New Roman"/>
                <w:sz w:val="22"/>
                <w:szCs w:val="22"/>
                <w:highlight w:val="none"/>
                <w:lang w:val="en-US" w:eastAsia="zh-CN"/>
              </w:rPr>
              <w:t>-</w:t>
            </w:r>
          </w:p>
        </w:tc>
        <w:tc>
          <w:tcPr>
            <w:tcW w:w="3236" w:type="dxa"/>
            <w:tcBorders>
              <w:top w:val="single" w:color="auto" w:sz="4" w:space="0"/>
              <w:left w:val="nil"/>
              <w:bottom w:val="single" w:color="auto" w:sz="8" w:space="0"/>
              <w:right w:val="single" w:color="auto" w:sz="8" w:space="0"/>
            </w:tcBorders>
            <w:noWrap/>
            <w:tcMar>
              <w:top w:w="0" w:type="dxa"/>
              <w:left w:w="108" w:type="dxa"/>
              <w:bottom w:w="0" w:type="dxa"/>
              <w:right w:w="108" w:type="dxa"/>
            </w:tcMar>
            <w:vAlign w:val="center"/>
          </w:tcPr>
          <w:p w14:paraId="1ABA3A12">
            <w:pPr>
              <w:widowControl/>
              <w:spacing w:line="240" w:lineRule="exact"/>
              <w:jc w:val="center"/>
              <w:rPr>
                <w:rFonts w:hint="default" w:ascii="Times New Roman" w:hAnsi="Times New Roman" w:eastAsia="方正仿宋_GBK" w:cs="Times New Roman"/>
                <w:sz w:val="22"/>
                <w:szCs w:val="22"/>
                <w:highlight w:val="none"/>
              </w:rPr>
            </w:pPr>
            <w:r>
              <w:rPr>
                <w:rFonts w:hint="default" w:ascii="Times New Roman" w:hAnsi="Times New Roman" w:eastAsia="方正仿宋_GBK" w:cs="Times New Roman"/>
                <w:sz w:val="22"/>
                <w:szCs w:val="22"/>
                <w:highlight w:val="none"/>
                <w:lang w:val="en-US" w:eastAsia="zh-CN"/>
              </w:rPr>
              <w:t>-</w:t>
            </w:r>
          </w:p>
        </w:tc>
      </w:tr>
      <w:tr w14:paraId="4116327E">
        <w:tblPrEx>
          <w:tblCellMar>
            <w:top w:w="0" w:type="dxa"/>
            <w:left w:w="0" w:type="dxa"/>
            <w:bottom w:w="0" w:type="dxa"/>
            <w:right w:w="0" w:type="dxa"/>
          </w:tblCellMar>
        </w:tblPrEx>
        <w:trPr>
          <w:trHeight w:val="486" w:hRule="exact"/>
          <w:jc w:val="center"/>
        </w:trPr>
        <w:tc>
          <w:tcPr>
            <w:tcW w:w="2650" w:type="dxa"/>
            <w:tcBorders>
              <w:top w:val="single" w:color="auto" w:sz="4" w:space="0"/>
              <w:left w:val="single" w:color="auto" w:sz="8" w:space="0"/>
              <w:bottom w:val="single" w:color="auto" w:sz="8" w:space="0"/>
              <w:right w:val="single" w:color="auto" w:sz="8" w:space="0"/>
            </w:tcBorders>
            <w:noWrap/>
            <w:tcMar>
              <w:top w:w="0" w:type="dxa"/>
              <w:left w:w="108" w:type="dxa"/>
              <w:bottom w:w="0" w:type="dxa"/>
              <w:right w:w="108" w:type="dxa"/>
            </w:tcMar>
            <w:vAlign w:val="center"/>
          </w:tcPr>
          <w:p w14:paraId="3631BD6E">
            <w:pPr>
              <w:widowControl/>
              <w:spacing w:line="240" w:lineRule="exact"/>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规范性文件</w:t>
            </w:r>
          </w:p>
        </w:tc>
        <w:tc>
          <w:tcPr>
            <w:tcW w:w="1896" w:type="dxa"/>
            <w:tcBorders>
              <w:top w:val="single" w:color="auto" w:sz="4" w:space="0"/>
              <w:left w:val="nil"/>
              <w:bottom w:val="single" w:color="auto" w:sz="8" w:space="0"/>
              <w:right w:val="single" w:color="auto" w:sz="8" w:space="0"/>
            </w:tcBorders>
            <w:noWrap/>
            <w:tcMar>
              <w:top w:w="0" w:type="dxa"/>
              <w:left w:w="108" w:type="dxa"/>
              <w:bottom w:w="0" w:type="dxa"/>
              <w:right w:w="108" w:type="dxa"/>
            </w:tcMar>
            <w:vAlign w:val="center"/>
          </w:tcPr>
          <w:p w14:paraId="59A55FB2">
            <w:pPr>
              <w:widowControl/>
              <w:spacing w:line="240" w:lineRule="exact"/>
              <w:jc w:val="center"/>
              <w:rPr>
                <w:rFonts w:hint="default" w:ascii="Times New Roman" w:hAnsi="Times New Roman" w:eastAsia="方正仿宋_GBK" w:cs="Times New Roman"/>
                <w:sz w:val="22"/>
                <w:szCs w:val="22"/>
                <w:highlight w:val="none"/>
              </w:rPr>
            </w:pPr>
            <w:r>
              <w:rPr>
                <w:rFonts w:hint="default" w:ascii="Times New Roman" w:hAnsi="Times New Roman" w:eastAsia="方正仿宋_GBK" w:cs="Times New Roman"/>
                <w:sz w:val="22"/>
                <w:szCs w:val="22"/>
                <w:highlight w:val="none"/>
                <w:lang w:val="en-US" w:eastAsia="zh-CN"/>
              </w:rPr>
              <w:t>1</w:t>
            </w:r>
          </w:p>
        </w:tc>
        <w:tc>
          <w:tcPr>
            <w:tcW w:w="1713" w:type="dxa"/>
            <w:tcBorders>
              <w:top w:val="single" w:color="auto" w:sz="4" w:space="0"/>
              <w:left w:val="nil"/>
              <w:bottom w:val="single" w:color="auto" w:sz="8" w:space="0"/>
              <w:right w:val="single" w:color="auto" w:sz="8" w:space="0"/>
            </w:tcBorders>
            <w:tcMar>
              <w:top w:w="0" w:type="dxa"/>
              <w:left w:w="108" w:type="dxa"/>
              <w:bottom w:w="0" w:type="dxa"/>
              <w:right w:w="108" w:type="dxa"/>
            </w:tcMar>
            <w:vAlign w:val="center"/>
          </w:tcPr>
          <w:p w14:paraId="03BC8978">
            <w:pPr>
              <w:widowControl/>
              <w:spacing w:line="240" w:lineRule="exact"/>
              <w:jc w:val="center"/>
              <w:rPr>
                <w:rFonts w:hint="default" w:ascii="Times New Roman" w:hAnsi="Times New Roman" w:eastAsia="方正仿宋_GBK" w:cs="Times New Roman"/>
                <w:sz w:val="22"/>
                <w:szCs w:val="22"/>
                <w:highlight w:val="none"/>
              </w:rPr>
            </w:pPr>
            <w:r>
              <w:rPr>
                <w:rFonts w:hint="default" w:ascii="Times New Roman" w:hAnsi="Times New Roman" w:eastAsia="方正仿宋_GBK" w:cs="Times New Roman"/>
                <w:sz w:val="22"/>
                <w:szCs w:val="22"/>
                <w:highlight w:val="none"/>
                <w:lang w:val="en-US" w:eastAsia="zh-CN"/>
              </w:rPr>
              <w:t>0</w:t>
            </w:r>
          </w:p>
        </w:tc>
        <w:tc>
          <w:tcPr>
            <w:tcW w:w="3236" w:type="dxa"/>
            <w:tcBorders>
              <w:top w:val="single" w:color="auto" w:sz="4" w:space="0"/>
              <w:left w:val="nil"/>
              <w:bottom w:val="single" w:color="auto" w:sz="8" w:space="0"/>
              <w:right w:val="single" w:color="auto" w:sz="8" w:space="0"/>
            </w:tcBorders>
            <w:noWrap/>
            <w:tcMar>
              <w:top w:w="0" w:type="dxa"/>
              <w:left w:w="108" w:type="dxa"/>
              <w:bottom w:w="0" w:type="dxa"/>
              <w:right w:w="108" w:type="dxa"/>
            </w:tcMar>
            <w:vAlign w:val="center"/>
          </w:tcPr>
          <w:p w14:paraId="4767B566">
            <w:pPr>
              <w:widowControl/>
              <w:spacing w:line="240" w:lineRule="exact"/>
              <w:jc w:val="center"/>
              <w:rPr>
                <w:rFonts w:hint="default" w:ascii="Times New Roman" w:hAnsi="Times New Roman" w:eastAsia="方正仿宋_GBK" w:cs="Times New Roman"/>
                <w:sz w:val="22"/>
                <w:szCs w:val="22"/>
                <w:highlight w:val="none"/>
                <w:lang w:eastAsia="zh-CN"/>
              </w:rPr>
            </w:pPr>
            <w:r>
              <w:rPr>
                <w:rFonts w:hint="default" w:ascii="Times New Roman" w:hAnsi="Times New Roman" w:eastAsia="方正仿宋_GBK" w:cs="Times New Roman"/>
                <w:sz w:val="22"/>
                <w:szCs w:val="22"/>
                <w:highlight w:val="none"/>
                <w:lang w:val="en-US" w:eastAsia="zh-CN"/>
              </w:rPr>
              <w:t>9</w:t>
            </w:r>
          </w:p>
        </w:tc>
      </w:tr>
      <w:tr w14:paraId="5CA383F4">
        <w:tblPrEx>
          <w:tblCellMar>
            <w:top w:w="0" w:type="dxa"/>
            <w:left w:w="0" w:type="dxa"/>
            <w:bottom w:w="0" w:type="dxa"/>
            <w:right w:w="0" w:type="dxa"/>
          </w:tblCellMar>
        </w:tblPrEx>
        <w:trPr>
          <w:trHeight w:val="731" w:hRule="exact"/>
          <w:jc w:val="center"/>
        </w:trPr>
        <w:tc>
          <w:tcPr>
            <w:tcW w:w="9495" w:type="dxa"/>
            <w:gridSpan w:val="4"/>
            <w:tcBorders>
              <w:top w:val="nil"/>
              <w:left w:val="single" w:color="auto" w:sz="8" w:space="0"/>
              <w:bottom w:val="single" w:color="auto" w:sz="8" w:space="0"/>
              <w:right w:val="single" w:color="auto" w:sz="8" w:space="0"/>
            </w:tcBorders>
            <w:shd w:val="clear" w:color="auto" w:fill="C6D9F1"/>
            <w:noWrap/>
            <w:tcMar>
              <w:top w:w="0" w:type="dxa"/>
              <w:left w:w="108" w:type="dxa"/>
              <w:bottom w:w="0" w:type="dxa"/>
              <w:right w:w="108" w:type="dxa"/>
            </w:tcMar>
            <w:vAlign w:val="center"/>
          </w:tcPr>
          <w:p w14:paraId="62287703">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第二十条  第（五）项</w:t>
            </w:r>
          </w:p>
        </w:tc>
      </w:tr>
      <w:tr w14:paraId="434C110A">
        <w:tblPrEx>
          <w:tblCellMar>
            <w:top w:w="0" w:type="dxa"/>
            <w:left w:w="0" w:type="dxa"/>
            <w:bottom w:w="0" w:type="dxa"/>
            <w:right w:w="0" w:type="dxa"/>
          </w:tblCellMar>
        </w:tblPrEx>
        <w:trPr>
          <w:trHeight w:val="530"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6A8F3E1">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信息内容</w:t>
            </w:r>
          </w:p>
        </w:tc>
        <w:tc>
          <w:tcPr>
            <w:tcW w:w="6845" w:type="dxa"/>
            <w:gridSpan w:val="3"/>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395529C2">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本年处理决定数量</w:t>
            </w:r>
          </w:p>
        </w:tc>
      </w:tr>
      <w:tr w14:paraId="2CF5AA08">
        <w:tblPrEx>
          <w:tblCellMar>
            <w:top w:w="0" w:type="dxa"/>
            <w:left w:w="0" w:type="dxa"/>
            <w:bottom w:w="0" w:type="dxa"/>
            <w:right w:w="0" w:type="dxa"/>
          </w:tblCellMar>
        </w:tblPrEx>
        <w:trPr>
          <w:trHeight w:val="616" w:hRule="exact"/>
          <w:jc w:val="center"/>
        </w:trPr>
        <w:tc>
          <w:tcPr>
            <w:tcW w:w="2650" w:type="dxa"/>
            <w:tcBorders>
              <w:top w:val="nil"/>
              <w:left w:val="single" w:color="auto" w:sz="8" w:space="0"/>
              <w:bottom w:val="single" w:color="auto" w:sz="8" w:space="0"/>
              <w:right w:val="single" w:color="auto" w:sz="8" w:space="0"/>
            </w:tcBorders>
            <w:noWrap/>
            <w:vAlign w:val="center"/>
          </w:tcPr>
          <w:p w14:paraId="28150AE5">
            <w:pPr>
              <w:widowControl/>
              <w:spacing w:line="240" w:lineRule="exact"/>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行政许可</w:t>
            </w:r>
          </w:p>
        </w:tc>
        <w:tc>
          <w:tcPr>
            <w:tcW w:w="6845" w:type="dxa"/>
            <w:gridSpan w:val="3"/>
            <w:tcBorders>
              <w:top w:val="nil"/>
              <w:left w:val="nil"/>
              <w:bottom w:val="single" w:color="auto" w:sz="8" w:space="0"/>
              <w:right w:val="single" w:color="auto" w:sz="8" w:space="0"/>
            </w:tcBorders>
            <w:noWrap/>
            <w:vAlign w:val="center"/>
          </w:tcPr>
          <w:p w14:paraId="18479CA9">
            <w:pPr>
              <w:widowControl/>
              <w:spacing w:line="260" w:lineRule="exact"/>
              <w:jc w:val="center"/>
              <w:rPr>
                <w:rFonts w:hint="default" w:ascii="Times New Roman" w:hAnsi="Times New Roman" w:eastAsia="方正仿宋_GBK" w:cs="Times New Roman"/>
                <w:sz w:val="22"/>
                <w:szCs w:val="22"/>
                <w:highlight w:val="none"/>
              </w:rPr>
            </w:pPr>
            <w:r>
              <w:rPr>
                <w:rFonts w:hint="default" w:ascii="Times New Roman" w:hAnsi="Times New Roman" w:eastAsia="方正仿宋_GBK" w:cs="Times New Roman"/>
                <w:color w:val="auto"/>
                <w:sz w:val="22"/>
                <w:szCs w:val="22"/>
                <w:highlight w:val="none"/>
                <w:lang w:val="en-US" w:eastAsia="zh-CN"/>
              </w:rPr>
              <w:t>589.5万</w:t>
            </w:r>
          </w:p>
        </w:tc>
      </w:tr>
      <w:tr w14:paraId="3FBBBC58">
        <w:tblPrEx>
          <w:tblCellMar>
            <w:top w:w="0" w:type="dxa"/>
            <w:left w:w="0" w:type="dxa"/>
            <w:bottom w:w="0" w:type="dxa"/>
            <w:right w:w="0" w:type="dxa"/>
          </w:tblCellMar>
        </w:tblPrEx>
        <w:trPr>
          <w:trHeight w:val="810" w:hRule="exact"/>
          <w:jc w:val="center"/>
        </w:trPr>
        <w:tc>
          <w:tcPr>
            <w:tcW w:w="9495" w:type="dxa"/>
            <w:gridSpan w:val="4"/>
            <w:tcBorders>
              <w:top w:val="nil"/>
              <w:left w:val="single" w:color="auto" w:sz="8" w:space="0"/>
              <w:bottom w:val="single" w:color="auto" w:sz="8" w:space="0"/>
              <w:right w:val="single" w:color="auto" w:sz="8" w:space="0"/>
            </w:tcBorders>
            <w:shd w:val="clear" w:color="auto" w:fill="C6D9F1"/>
            <w:noWrap/>
            <w:tcMar>
              <w:top w:w="0" w:type="dxa"/>
              <w:left w:w="108" w:type="dxa"/>
              <w:bottom w:w="0" w:type="dxa"/>
              <w:right w:w="108" w:type="dxa"/>
            </w:tcMar>
            <w:vAlign w:val="center"/>
          </w:tcPr>
          <w:p w14:paraId="243C8E29">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第二十条  第（六）项</w:t>
            </w:r>
          </w:p>
        </w:tc>
      </w:tr>
      <w:tr w14:paraId="3B73C74A">
        <w:tblPrEx>
          <w:tblCellMar>
            <w:top w:w="0" w:type="dxa"/>
            <w:left w:w="0" w:type="dxa"/>
            <w:bottom w:w="0" w:type="dxa"/>
            <w:right w:w="0" w:type="dxa"/>
          </w:tblCellMar>
        </w:tblPrEx>
        <w:trPr>
          <w:trHeight w:val="760"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56DAD031">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信息内容</w:t>
            </w:r>
          </w:p>
        </w:tc>
        <w:tc>
          <w:tcPr>
            <w:tcW w:w="6845" w:type="dxa"/>
            <w:gridSpan w:val="3"/>
            <w:tcBorders>
              <w:top w:val="single" w:color="auto" w:sz="8" w:space="0"/>
              <w:left w:val="nil"/>
              <w:bottom w:val="single" w:color="auto" w:sz="8" w:space="0"/>
              <w:right w:val="single" w:color="auto" w:sz="8" w:space="0"/>
            </w:tcBorders>
            <w:noWrap/>
            <w:tcMar>
              <w:top w:w="0" w:type="dxa"/>
              <w:left w:w="108" w:type="dxa"/>
              <w:bottom w:w="0" w:type="dxa"/>
              <w:right w:w="108" w:type="dxa"/>
            </w:tcMar>
            <w:vAlign w:val="center"/>
          </w:tcPr>
          <w:p w14:paraId="28FAB959">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本年处理决定数量</w:t>
            </w:r>
          </w:p>
        </w:tc>
      </w:tr>
      <w:tr w14:paraId="0649DB7F">
        <w:tblPrEx>
          <w:tblCellMar>
            <w:top w:w="0" w:type="dxa"/>
            <w:left w:w="0" w:type="dxa"/>
            <w:bottom w:w="0" w:type="dxa"/>
            <w:right w:w="0" w:type="dxa"/>
          </w:tblCellMar>
        </w:tblPrEx>
        <w:trPr>
          <w:trHeight w:val="595" w:hRule="exact"/>
          <w:jc w:val="center"/>
        </w:trPr>
        <w:tc>
          <w:tcPr>
            <w:tcW w:w="2650" w:type="dxa"/>
            <w:tcBorders>
              <w:top w:val="nil"/>
              <w:left w:val="single" w:color="auto" w:sz="8" w:space="0"/>
              <w:bottom w:val="single" w:color="auto" w:sz="8" w:space="0"/>
              <w:right w:val="single" w:color="auto" w:sz="8" w:space="0"/>
            </w:tcBorders>
            <w:noWrap/>
            <w:vAlign w:val="center"/>
          </w:tcPr>
          <w:p w14:paraId="52985147">
            <w:pPr>
              <w:widowControl/>
              <w:spacing w:line="240" w:lineRule="exact"/>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行政处罚</w:t>
            </w:r>
          </w:p>
        </w:tc>
        <w:tc>
          <w:tcPr>
            <w:tcW w:w="6845" w:type="dxa"/>
            <w:gridSpan w:val="3"/>
            <w:tcBorders>
              <w:top w:val="nil"/>
              <w:left w:val="nil"/>
              <w:bottom w:val="single" w:color="auto" w:sz="8" w:space="0"/>
              <w:right w:val="single" w:color="auto" w:sz="8" w:space="0"/>
            </w:tcBorders>
            <w:noWrap/>
            <w:vAlign w:val="center"/>
          </w:tcPr>
          <w:p w14:paraId="26CE05F2">
            <w:pPr>
              <w:widowControl/>
              <w:spacing w:line="260" w:lineRule="exact"/>
              <w:jc w:val="center"/>
              <w:rPr>
                <w:rFonts w:hint="default" w:ascii="Times New Roman" w:hAnsi="Times New Roman" w:eastAsia="方正仿宋_GBK" w:cs="Times New Roman"/>
                <w:sz w:val="22"/>
                <w:szCs w:val="22"/>
                <w:highlight w:val="none"/>
              </w:rPr>
            </w:pPr>
            <w:r>
              <w:rPr>
                <w:rFonts w:hint="default" w:ascii="Times New Roman" w:hAnsi="Times New Roman" w:eastAsia="方正仿宋_GBK" w:cs="Times New Roman"/>
                <w:color w:val="auto"/>
                <w:sz w:val="22"/>
                <w:szCs w:val="22"/>
                <w:highlight w:val="none"/>
                <w:lang w:val="en-US" w:eastAsia="zh-CN"/>
              </w:rPr>
              <w:t>12534924</w:t>
            </w:r>
          </w:p>
        </w:tc>
      </w:tr>
      <w:tr w14:paraId="4B85431A">
        <w:tblPrEx>
          <w:tblCellMar>
            <w:top w:w="0" w:type="dxa"/>
            <w:left w:w="0" w:type="dxa"/>
            <w:bottom w:w="0" w:type="dxa"/>
            <w:right w:w="0" w:type="dxa"/>
          </w:tblCellMar>
        </w:tblPrEx>
        <w:trPr>
          <w:trHeight w:val="545" w:hRule="exact"/>
          <w:jc w:val="center"/>
        </w:trPr>
        <w:tc>
          <w:tcPr>
            <w:tcW w:w="2650" w:type="dxa"/>
            <w:tcBorders>
              <w:top w:val="nil"/>
              <w:left w:val="single" w:color="auto" w:sz="8" w:space="0"/>
              <w:bottom w:val="single" w:color="auto" w:sz="8" w:space="0"/>
              <w:right w:val="single" w:color="auto" w:sz="8" w:space="0"/>
            </w:tcBorders>
            <w:noWrap/>
            <w:vAlign w:val="center"/>
          </w:tcPr>
          <w:p w14:paraId="6D922B69">
            <w:pPr>
              <w:widowControl/>
              <w:spacing w:line="240" w:lineRule="exact"/>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行政强制</w:t>
            </w:r>
          </w:p>
        </w:tc>
        <w:tc>
          <w:tcPr>
            <w:tcW w:w="6845" w:type="dxa"/>
            <w:gridSpan w:val="3"/>
            <w:tcBorders>
              <w:top w:val="nil"/>
              <w:left w:val="nil"/>
              <w:bottom w:val="single" w:color="auto" w:sz="8" w:space="0"/>
              <w:right w:val="single" w:color="auto" w:sz="8" w:space="0"/>
            </w:tcBorders>
            <w:noWrap/>
            <w:vAlign w:val="center"/>
          </w:tcPr>
          <w:p w14:paraId="7B85324D">
            <w:pPr>
              <w:widowControl/>
              <w:spacing w:line="260" w:lineRule="exact"/>
              <w:jc w:val="center"/>
              <w:rPr>
                <w:rFonts w:hint="default" w:ascii="Times New Roman" w:hAnsi="Times New Roman" w:eastAsia="方正仿宋_GBK" w:cs="Times New Roman"/>
                <w:sz w:val="22"/>
                <w:szCs w:val="22"/>
                <w:highlight w:val="none"/>
              </w:rPr>
            </w:pPr>
            <w:r>
              <w:rPr>
                <w:rFonts w:hint="default" w:ascii="Times New Roman" w:hAnsi="Times New Roman" w:eastAsia="方正仿宋_GBK" w:cs="Times New Roman"/>
                <w:color w:val="auto"/>
                <w:sz w:val="22"/>
                <w:szCs w:val="22"/>
                <w:highlight w:val="none"/>
                <w:lang w:val="en-US" w:eastAsia="zh-CN"/>
              </w:rPr>
              <w:t>85140</w:t>
            </w:r>
          </w:p>
        </w:tc>
      </w:tr>
      <w:tr w14:paraId="735B7795">
        <w:tblPrEx>
          <w:tblCellMar>
            <w:top w:w="0" w:type="dxa"/>
            <w:left w:w="0" w:type="dxa"/>
            <w:bottom w:w="0" w:type="dxa"/>
            <w:right w:w="0" w:type="dxa"/>
          </w:tblCellMar>
        </w:tblPrEx>
        <w:trPr>
          <w:trHeight w:val="678" w:hRule="exact"/>
          <w:jc w:val="center"/>
        </w:trPr>
        <w:tc>
          <w:tcPr>
            <w:tcW w:w="9495" w:type="dxa"/>
            <w:gridSpan w:val="4"/>
            <w:tcBorders>
              <w:top w:val="nil"/>
              <w:left w:val="single" w:color="auto" w:sz="8" w:space="0"/>
              <w:bottom w:val="single" w:color="auto" w:sz="8" w:space="0"/>
              <w:right w:val="single" w:color="auto" w:sz="8" w:space="0"/>
            </w:tcBorders>
            <w:shd w:val="clear" w:color="auto" w:fill="C6D9F1"/>
            <w:noWrap/>
            <w:tcMar>
              <w:top w:w="0" w:type="dxa"/>
              <w:left w:w="108" w:type="dxa"/>
              <w:bottom w:w="0" w:type="dxa"/>
              <w:right w:w="108" w:type="dxa"/>
            </w:tcMar>
            <w:vAlign w:val="center"/>
          </w:tcPr>
          <w:p w14:paraId="2BB3315F">
            <w:pPr>
              <w:widowControl/>
              <w:spacing w:line="240" w:lineRule="exact"/>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第二十条  第（八）项</w:t>
            </w:r>
          </w:p>
        </w:tc>
      </w:tr>
      <w:tr w14:paraId="76C572A4">
        <w:tblPrEx>
          <w:tblCellMar>
            <w:top w:w="0" w:type="dxa"/>
            <w:left w:w="0" w:type="dxa"/>
            <w:bottom w:w="0" w:type="dxa"/>
            <w:right w:w="0" w:type="dxa"/>
          </w:tblCellMar>
        </w:tblPrEx>
        <w:trPr>
          <w:trHeight w:val="637"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708CFE85">
            <w:pPr>
              <w:widowControl/>
              <w:spacing w:line="240" w:lineRule="exact"/>
              <w:jc w:val="center"/>
              <w:rPr>
                <w:rFonts w:hint="default" w:ascii="Times New Roman" w:hAnsi="Times New Roman" w:eastAsia="方正仿宋_GBK" w:cs="Times New Roman"/>
                <w:color w:val="000000"/>
                <w:sz w:val="22"/>
                <w:szCs w:val="22"/>
                <w:highlight w:val="none"/>
              </w:rPr>
            </w:pPr>
            <w:r>
              <w:rPr>
                <w:rFonts w:hint="default" w:ascii="Times New Roman" w:hAnsi="Times New Roman" w:eastAsia="方正仿宋_GBK" w:cs="Times New Roman"/>
                <w:color w:val="000000"/>
                <w:sz w:val="22"/>
                <w:szCs w:val="22"/>
                <w:highlight w:val="none"/>
              </w:rPr>
              <w:t>信息内容</w:t>
            </w:r>
          </w:p>
        </w:tc>
        <w:tc>
          <w:tcPr>
            <w:tcW w:w="6845" w:type="dxa"/>
            <w:gridSpan w:val="3"/>
            <w:tcBorders>
              <w:top w:val="nil"/>
              <w:left w:val="nil"/>
              <w:bottom w:val="single" w:color="auto" w:sz="8" w:space="0"/>
              <w:right w:val="single" w:color="000000" w:sz="8" w:space="0"/>
            </w:tcBorders>
            <w:noWrap/>
            <w:tcMar>
              <w:top w:w="0" w:type="dxa"/>
              <w:left w:w="108" w:type="dxa"/>
              <w:bottom w:w="0" w:type="dxa"/>
              <w:right w:w="108" w:type="dxa"/>
            </w:tcMar>
            <w:vAlign w:val="center"/>
          </w:tcPr>
          <w:p w14:paraId="074A30C8">
            <w:pPr>
              <w:widowControl/>
              <w:spacing w:line="240" w:lineRule="exact"/>
              <w:jc w:val="center"/>
              <w:rPr>
                <w:rFonts w:hint="default" w:ascii="Times New Roman" w:hAnsi="Times New Roman" w:eastAsia="方正仿宋_GBK" w:cs="Times New Roman"/>
                <w:color w:val="000000"/>
                <w:sz w:val="22"/>
                <w:szCs w:val="22"/>
                <w:highlight w:val="none"/>
              </w:rPr>
            </w:pPr>
            <w:r>
              <w:rPr>
                <w:rFonts w:hint="default" w:ascii="Times New Roman" w:hAnsi="Times New Roman" w:eastAsia="方正仿宋_GBK" w:cs="Times New Roman"/>
                <w:color w:val="000000"/>
                <w:sz w:val="22"/>
                <w:szCs w:val="22"/>
                <w:highlight w:val="none"/>
              </w:rPr>
              <w:t>本年收费金额（单位：万元）</w:t>
            </w:r>
          </w:p>
        </w:tc>
      </w:tr>
      <w:tr w14:paraId="5FA8BD99">
        <w:tblPrEx>
          <w:tblCellMar>
            <w:top w:w="0" w:type="dxa"/>
            <w:left w:w="0" w:type="dxa"/>
            <w:bottom w:w="0" w:type="dxa"/>
            <w:right w:w="0" w:type="dxa"/>
          </w:tblCellMar>
        </w:tblPrEx>
        <w:trPr>
          <w:trHeight w:val="755" w:hRule="exact"/>
          <w:jc w:val="center"/>
        </w:trPr>
        <w:tc>
          <w:tcPr>
            <w:tcW w:w="2650" w:type="dxa"/>
            <w:tcBorders>
              <w:top w:val="nil"/>
              <w:left w:val="single" w:color="auto" w:sz="8" w:space="0"/>
              <w:bottom w:val="single" w:color="auto" w:sz="8" w:space="0"/>
              <w:right w:val="single" w:color="auto" w:sz="8" w:space="0"/>
            </w:tcBorders>
            <w:noWrap/>
            <w:tcMar>
              <w:top w:w="0" w:type="dxa"/>
              <w:left w:w="108" w:type="dxa"/>
              <w:bottom w:w="0" w:type="dxa"/>
              <w:right w:w="108" w:type="dxa"/>
            </w:tcMar>
            <w:vAlign w:val="center"/>
          </w:tcPr>
          <w:p w14:paraId="4E4C0A16">
            <w:pPr>
              <w:widowControl/>
              <w:spacing w:line="240" w:lineRule="exact"/>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000000"/>
                <w:sz w:val="22"/>
                <w:szCs w:val="22"/>
                <w:highlight w:val="none"/>
              </w:rPr>
              <w:t>行政事业性收费</w:t>
            </w:r>
          </w:p>
        </w:tc>
        <w:tc>
          <w:tcPr>
            <w:tcW w:w="6845" w:type="dxa"/>
            <w:gridSpan w:val="3"/>
            <w:tcBorders>
              <w:top w:val="nil"/>
              <w:left w:val="nil"/>
              <w:bottom w:val="single" w:color="auto" w:sz="8" w:space="0"/>
              <w:right w:val="single" w:color="000000" w:sz="8" w:space="0"/>
            </w:tcBorders>
            <w:noWrap/>
            <w:tcMar>
              <w:top w:w="0" w:type="dxa"/>
              <w:left w:w="108" w:type="dxa"/>
              <w:bottom w:w="0" w:type="dxa"/>
              <w:right w:w="108" w:type="dxa"/>
            </w:tcMar>
            <w:vAlign w:val="center"/>
          </w:tcPr>
          <w:p w14:paraId="4E887B84">
            <w:pPr>
              <w:jc w:val="center"/>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color w:val="auto"/>
                <w:sz w:val="22"/>
                <w:szCs w:val="22"/>
                <w:highlight w:val="none"/>
                <w:lang w:val="en-US" w:eastAsia="zh-CN"/>
              </w:rPr>
              <w:t>18285.62</w:t>
            </w:r>
          </w:p>
        </w:tc>
      </w:tr>
    </w:tbl>
    <w:p w14:paraId="6C790850">
      <w:pPr>
        <w:pStyle w:val="9"/>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黑体_GBK" w:cs="Times New Roman"/>
          <w:sz w:val="32"/>
          <w:szCs w:val="32"/>
          <w:highlight w:val="none"/>
          <w:lang w:val="en-US" w:eastAsia="zh-CN"/>
        </w:rPr>
      </w:pPr>
    </w:p>
    <w:p w14:paraId="5F0C1B69">
      <w:pPr>
        <w:pStyle w:val="9"/>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left="0" w:leftChars="0"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val="en-US" w:eastAsia="zh-CN"/>
        </w:rPr>
        <w:t>三、</w:t>
      </w:r>
      <w:r>
        <w:rPr>
          <w:rFonts w:hint="default" w:ascii="Times New Roman" w:hAnsi="Times New Roman" w:eastAsia="方正黑体_GBK" w:cs="Times New Roman"/>
          <w:sz w:val="32"/>
          <w:szCs w:val="32"/>
          <w:highlight w:val="none"/>
        </w:rPr>
        <w:t>收到和处理政府信息公开申请情况</w:t>
      </w:r>
    </w:p>
    <w:tbl>
      <w:tblPr>
        <w:tblStyle w:val="5"/>
        <w:tblW w:w="9470" w:type="dxa"/>
        <w:jc w:val="center"/>
        <w:tblLayout w:type="fixed"/>
        <w:tblCellMar>
          <w:top w:w="0" w:type="dxa"/>
          <w:left w:w="0" w:type="dxa"/>
          <w:bottom w:w="0" w:type="dxa"/>
          <w:right w:w="0" w:type="dxa"/>
        </w:tblCellMar>
      </w:tblPr>
      <w:tblGrid>
        <w:gridCol w:w="481"/>
        <w:gridCol w:w="1315"/>
        <w:gridCol w:w="3099"/>
        <w:gridCol w:w="750"/>
        <w:gridCol w:w="630"/>
        <w:gridCol w:w="624"/>
        <w:gridCol w:w="737"/>
        <w:gridCol w:w="689"/>
        <w:gridCol w:w="529"/>
        <w:gridCol w:w="616"/>
      </w:tblGrid>
      <w:tr w14:paraId="4CACFC5C">
        <w:tblPrEx>
          <w:tblCellMar>
            <w:top w:w="0" w:type="dxa"/>
            <w:left w:w="0" w:type="dxa"/>
            <w:bottom w:w="0" w:type="dxa"/>
            <w:right w:w="0" w:type="dxa"/>
          </w:tblCellMar>
        </w:tblPrEx>
        <w:trPr>
          <w:jc w:val="center"/>
        </w:trPr>
        <w:tc>
          <w:tcPr>
            <w:tcW w:w="4895" w:type="dxa"/>
            <w:gridSpan w:val="3"/>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0CD3EB">
            <w:pPr>
              <w:widowControl/>
              <w:spacing w:line="260" w:lineRule="exact"/>
              <w:jc w:val="left"/>
              <w:rPr>
                <w:rFonts w:hint="default" w:ascii="Times New Roman" w:hAnsi="Times New Roman" w:cs="Times New Roman"/>
                <w:spacing w:val="-20"/>
                <w:sz w:val="20"/>
                <w:szCs w:val="20"/>
                <w:highlight w:val="none"/>
              </w:rPr>
            </w:pPr>
            <w:r>
              <w:rPr>
                <w:rFonts w:hint="default" w:ascii="Times New Roman" w:hAnsi="Times New Roman" w:eastAsia="黑体" w:cs="Times New Roman"/>
                <w:spacing w:val="0"/>
                <w:sz w:val="20"/>
                <w:szCs w:val="20"/>
                <w:highlight w:val="none"/>
              </w:rPr>
              <w:t>（本列数据的勾稽关系为：第一项加第二项之和，等于第三项加第四项之和）</w:t>
            </w:r>
          </w:p>
        </w:tc>
        <w:tc>
          <w:tcPr>
            <w:tcW w:w="4575" w:type="dxa"/>
            <w:gridSpan w:val="7"/>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37657A2">
            <w:pPr>
              <w:widowControl/>
              <w:spacing w:line="26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0"/>
                <w:sz w:val="20"/>
                <w:szCs w:val="20"/>
                <w:highlight w:val="none"/>
              </w:rPr>
              <w:t>申请人情况</w:t>
            </w:r>
          </w:p>
        </w:tc>
      </w:tr>
      <w:tr w14:paraId="3912FD51">
        <w:tblPrEx>
          <w:tblCellMar>
            <w:top w:w="0" w:type="dxa"/>
            <w:left w:w="0" w:type="dxa"/>
            <w:bottom w:w="0" w:type="dxa"/>
            <w:right w:w="0" w:type="dxa"/>
          </w:tblCellMar>
        </w:tblPrEx>
        <w:trPr>
          <w:jc w:val="center"/>
        </w:trPr>
        <w:tc>
          <w:tcPr>
            <w:tcW w:w="4895" w:type="dxa"/>
            <w:gridSpan w:val="3"/>
            <w:vMerge w:val="continue"/>
            <w:tcBorders>
              <w:top w:val="single" w:color="auto" w:sz="8" w:space="0"/>
              <w:left w:val="single" w:color="auto" w:sz="8" w:space="0"/>
              <w:bottom w:val="single" w:color="auto" w:sz="8" w:space="0"/>
              <w:right w:val="single" w:color="auto" w:sz="8" w:space="0"/>
            </w:tcBorders>
            <w:vAlign w:val="center"/>
          </w:tcPr>
          <w:p w14:paraId="2D8BA5D6">
            <w:pPr>
              <w:widowControl/>
              <w:spacing w:line="260" w:lineRule="exact"/>
              <w:jc w:val="left"/>
              <w:rPr>
                <w:rFonts w:hint="default" w:ascii="Times New Roman" w:hAnsi="Times New Roman" w:cs="Times New Roman"/>
                <w:spacing w:val="-20"/>
                <w:sz w:val="20"/>
                <w:szCs w:val="20"/>
                <w:highlight w:val="none"/>
              </w:rPr>
            </w:pPr>
          </w:p>
        </w:tc>
        <w:tc>
          <w:tcPr>
            <w:tcW w:w="750"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276CECC8">
            <w:pPr>
              <w:widowControl/>
              <w:spacing w:line="26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20"/>
                <w:sz w:val="20"/>
                <w:szCs w:val="20"/>
                <w:highlight w:val="none"/>
              </w:rPr>
              <w:t>自然人</w:t>
            </w:r>
          </w:p>
        </w:tc>
        <w:tc>
          <w:tcPr>
            <w:tcW w:w="3209"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341DCDF">
            <w:pPr>
              <w:widowControl/>
              <w:spacing w:line="26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0"/>
                <w:sz w:val="20"/>
                <w:szCs w:val="20"/>
                <w:highlight w:val="none"/>
              </w:rPr>
              <w:t>法人或其他组织</w:t>
            </w:r>
          </w:p>
        </w:tc>
        <w:tc>
          <w:tcPr>
            <w:tcW w:w="616"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584F126">
            <w:pPr>
              <w:widowControl/>
              <w:spacing w:line="26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20"/>
                <w:sz w:val="20"/>
                <w:szCs w:val="20"/>
                <w:highlight w:val="none"/>
              </w:rPr>
              <w:t>总计</w:t>
            </w:r>
          </w:p>
        </w:tc>
      </w:tr>
      <w:tr w14:paraId="0A74BA02">
        <w:tblPrEx>
          <w:tblCellMar>
            <w:top w:w="0" w:type="dxa"/>
            <w:left w:w="0" w:type="dxa"/>
            <w:bottom w:w="0" w:type="dxa"/>
            <w:right w:w="0" w:type="dxa"/>
          </w:tblCellMar>
        </w:tblPrEx>
        <w:trPr>
          <w:trHeight w:val="90" w:hRule="atLeast"/>
          <w:jc w:val="center"/>
        </w:trPr>
        <w:tc>
          <w:tcPr>
            <w:tcW w:w="4895" w:type="dxa"/>
            <w:gridSpan w:val="3"/>
            <w:vMerge w:val="continue"/>
            <w:tcBorders>
              <w:top w:val="single" w:color="auto" w:sz="8" w:space="0"/>
              <w:left w:val="single" w:color="auto" w:sz="8" w:space="0"/>
              <w:bottom w:val="single" w:color="auto" w:sz="8" w:space="0"/>
              <w:right w:val="single" w:color="auto" w:sz="8" w:space="0"/>
            </w:tcBorders>
            <w:vAlign w:val="center"/>
          </w:tcPr>
          <w:p w14:paraId="3BC6139C">
            <w:pPr>
              <w:widowControl/>
              <w:spacing w:line="260" w:lineRule="exact"/>
              <w:jc w:val="left"/>
              <w:rPr>
                <w:rFonts w:hint="default" w:ascii="Times New Roman" w:hAnsi="Times New Roman" w:cs="Times New Roman"/>
                <w:spacing w:val="-20"/>
                <w:sz w:val="20"/>
                <w:szCs w:val="20"/>
                <w:highlight w:val="none"/>
              </w:rPr>
            </w:pPr>
          </w:p>
        </w:tc>
        <w:tc>
          <w:tcPr>
            <w:tcW w:w="750" w:type="dxa"/>
            <w:vMerge w:val="continue"/>
            <w:tcBorders>
              <w:top w:val="nil"/>
              <w:left w:val="nil"/>
              <w:bottom w:val="single" w:color="auto" w:sz="8" w:space="0"/>
              <w:right w:val="single" w:color="auto" w:sz="8" w:space="0"/>
            </w:tcBorders>
            <w:vAlign w:val="center"/>
          </w:tcPr>
          <w:p w14:paraId="7961051D">
            <w:pPr>
              <w:widowControl/>
              <w:spacing w:line="260" w:lineRule="exact"/>
              <w:jc w:val="left"/>
              <w:rPr>
                <w:rFonts w:hint="default" w:ascii="Times New Roman" w:hAnsi="Times New Roman" w:cs="Times New Roman"/>
                <w:spacing w:val="-20"/>
                <w:sz w:val="20"/>
                <w:szCs w:val="20"/>
                <w:highlight w:val="none"/>
              </w:rPr>
            </w:pP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3E6D0292">
            <w:pPr>
              <w:widowControl/>
              <w:spacing w:line="20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20"/>
                <w:sz w:val="20"/>
                <w:szCs w:val="20"/>
                <w:highlight w:val="none"/>
              </w:rPr>
              <w:t>商业企业</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6A2CDB1A">
            <w:pPr>
              <w:widowControl/>
              <w:spacing w:line="20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20"/>
                <w:sz w:val="20"/>
                <w:szCs w:val="20"/>
                <w:highlight w:val="none"/>
              </w:rPr>
              <w:t>科研机构</w:t>
            </w:r>
          </w:p>
        </w:tc>
        <w:tc>
          <w:tcPr>
            <w:tcW w:w="73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6768B14B">
            <w:pPr>
              <w:widowControl/>
              <w:spacing w:line="20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20"/>
                <w:sz w:val="20"/>
                <w:szCs w:val="20"/>
                <w:highlight w:val="none"/>
              </w:rPr>
              <w:t>社会公益组织</w:t>
            </w:r>
          </w:p>
        </w:tc>
        <w:tc>
          <w:tcPr>
            <w:tcW w:w="68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5618E95">
            <w:pPr>
              <w:widowControl/>
              <w:spacing w:line="20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20"/>
                <w:sz w:val="20"/>
                <w:szCs w:val="20"/>
                <w:highlight w:val="none"/>
              </w:rPr>
              <w:t>法律服务机构</w:t>
            </w:r>
          </w:p>
        </w:tc>
        <w:tc>
          <w:tcPr>
            <w:tcW w:w="529"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9FF3E08">
            <w:pPr>
              <w:widowControl/>
              <w:spacing w:line="260" w:lineRule="exact"/>
              <w:jc w:val="center"/>
              <w:rPr>
                <w:rFonts w:hint="default" w:ascii="Times New Roman" w:hAnsi="Times New Roman" w:eastAsia="黑体" w:cs="Times New Roman"/>
                <w:spacing w:val="-20"/>
                <w:sz w:val="20"/>
                <w:szCs w:val="20"/>
                <w:highlight w:val="none"/>
              </w:rPr>
            </w:pPr>
            <w:r>
              <w:rPr>
                <w:rFonts w:hint="default" w:ascii="Times New Roman" w:hAnsi="Times New Roman" w:eastAsia="黑体" w:cs="Times New Roman"/>
                <w:spacing w:val="-20"/>
                <w:sz w:val="20"/>
                <w:szCs w:val="20"/>
                <w:highlight w:val="none"/>
              </w:rPr>
              <w:t>其他</w:t>
            </w:r>
          </w:p>
        </w:tc>
        <w:tc>
          <w:tcPr>
            <w:tcW w:w="616" w:type="dxa"/>
            <w:vMerge w:val="continue"/>
            <w:tcBorders>
              <w:top w:val="single" w:color="auto" w:sz="8" w:space="0"/>
              <w:left w:val="nil"/>
              <w:bottom w:val="single" w:color="auto" w:sz="8" w:space="0"/>
              <w:right w:val="single" w:color="auto" w:sz="8" w:space="0"/>
            </w:tcBorders>
            <w:vAlign w:val="center"/>
          </w:tcPr>
          <w:p w14:paraId="4C0B59D6">
            <w:pPr>
              <w:widowControl/>
              <w:spacing w:line="260" w:lineRule="exact"/>
              <w:jc w:val="left"/>
              <w:rPr>
                <w:rFonts w:hint="default" w:ascii="Times New Roman" w:hAnsi="Times New Roman" w:eastAsia="黑体" w:cs="Times New Roman"/>
                <w:spacing w:val="-20"/>
                <w:sz w:val="20"/>
                <w:szCs w:val="20"/>
                <w:highlight w:val="none"/>
              </w:rPr>
            </w:pPr>
          </w:p>
        </w:tc>
      </w:tr>
      <w:tr w14:paraId="37702E05">
        <w:tblPrEx>
          <w:tblCellMar>
            <w:top w:w="0" w:type="dxa"/>
            <w:left w:w="0" w:type="dxa"/>
            <w:bottom w:w="0" w:type="dxa"/>
            <w:right w:w="0" w:type="dxa"/>
          </w:tblCellMar>
        </w:tblPrEx>
        <w:trPr>
          <w:trHeight w:val="397" w:hRule="atLeast"/>
          <w:jc w:val="center"/>
        </w:trPr>
        <w:tc>
          <w:tcPr>
            <w:tcW w:w="4895" w:type="dxa"/>
            <w:gridSpan w:val="3"/>
            <w:tcBorders>
              <w:top w:val="nil"/>
              <w:left w:val="single" w:color="auto" w:sz="8" w:space="0"/>
              <w:bottom w:val="single" w:color="auto" w:sz="8" w:space="0"/>
              <w:right w:val="single" w:color="auto" w:sz="8" w:space="0"/>
            </w:tcBorders>
            <w:vAlign w:val="center"/>
          </w:tcPr>
          <w:p w14:paraId="376C0E7A">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一、本年新收政府信息公开申请数量</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218739E0">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188</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43532EF0">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2</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6FF3D0C6">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1A3A118B">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0FFBBA69">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3</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950FACD">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7915001C">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193</w:t>
            </w:r>
          </w:p>
        </w:tc>
      </w:tr>
      <w:tr w14:paraId="4823B3CE">
        <w:tblPrEx>
          <w:tblCellMar>
            <w:top w:w="0" w:type="dxa"/>
            <w:left w:w="0" w:type="dxa"/>
            <w:bottom w:w="0" w:type="dxa"/>
            <w:right w:w="0" w:type="dxa"/>
          </w:tblCellMar>
        </w:tblPrEx>
        <w:trPr>
          <w:trHeight w:val="397" w:hRule="atLeast"/>
          <w:jc w:val="center"/>
        </w:trPr>
        <w:tc>
          <w:tcPr>
            <w:tcW w:w="4895" w:type="dxa"/>
            <w:gridSpan w:val="3"/>
            <w:tcBorders>
              <w:top w:val="nil"/>
              <w:left w:val="single" w:color="auto" w:sz="8" w:space="0"/>
              <w:bottom w:val="single" w:color="auto" w:sz="8" w:space="0"/>
              <w:right w:val="single" w:color="auto" w:sz="8" w:space="0"/>
            </w:tcBorders>
            <w:vAlign w:val="center"/>
          </w:tcPr>
          <w:p w14:paraId="72C3F672">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二、上年结转政府信息公开申请数量</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2C271F89">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12</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C2BEDC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563ACC38">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00256A1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45A9AD9A">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44F75376">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29267F7C">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12</w:t>
            </w:r>
          </w:p>
        </w:tc>
      </w:tr>
      <w:tr w14:paraId="487549A4">
        <w:tblPrEx>
          <w:tblCellMar>
            <w:top w:w="0" w:type="dxa"/>
            <w:left w:w="0" w:type="dxa"/>
            <w:bottom w:w="0" w:type="dxa"/>
            <w:right w:w="0" w:type="dxa"/>
          </w:tblCellMar>
        </w:tblPrEx>
        <w:trPr>
          <w:trHeight w:val="397" w:hRule="atLeast"/>
          <w:jc w:val="center"/>
        </w:trPr>
        <w:tc>
          <w:tcPr>
            <w:tcW w:w="481" w:type="dxa"/>
            <w:vMerge w:val="restart"/>
            <w:tcBorders>
              <w:top w:val="nil"/>
              <w:left w:val="single" w:color="auto" w:sz="8" w:space="0"/>
              <w:bottom w:val="single" w:color="auto" w:sz="8" w:space="0"/>
              <w:right w:val="single" w:color="auto" w:sz="8" w:space="0"/>
            </w:tcBorders>
            <w:vAlign w:val="center"/>
          </w:tcPr>
          <w:p w14:paraId="18F2C36A">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三、本年度办理结果</w:t>
            </w:r>
          </w:p>
        </w:tc>
        <w:tc>
          <w:tcPr>
            <w:tcW w:w="4414" w:type="dxa"/>
            <w:gridSpan w:val="2"/>
            <w:tcBorders>
              <w:top w:val="nil"/>
              <w:left w:val="nil"/>
              <w:bottom w:val="single" w:color="auto" w:sz="8" w:space="0"/>
              <w:right w:val="single" w:color="auto" w:sz="8" w:space="0"/>
            </w:tcBorders>
            <w:vAlign w:val="center"/>
          </w:tcPr>
          <w:p w14:paraId="15A52270">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（一）予以公开</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66EAF21C">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13</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3FF6E5A5">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0EBB384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7859D8B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5B4C68B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842D73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2DC3037">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13</w:t>
            </w:r>
          </w:p>
        </w:tc>
      </w:tr>
      <w:tr w14:paraId="0A08B8F6">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1AF5CCB2">
            <w:pPr>
              <w:widowControl/>
              <w:spacing w:line="260" w:lineRule="exact"/>
              <w:jc w:val="left"/>
              <w:rPr>
                <w:rFonts w:hint="default" w:ascii="Times New Roman" w:hAnsi="Times New Roman" w:eastAsia="方正楷体_GBK" w:cs="Times New Roman"/>
                <w:spacing w:val="-20"/>
                <w:sz w:val="20"/>
                <w:szCs w:val="20"/>
                <w:highlight w:val="none"/>
              </w:rPr>
            </w:pPr>
          </w:p>
        </w:tc>
        <w:tc>
          <w:tcPr>
            <w:tcW w:w="4414" w:type="dxa"/>
            <w:gridSpan w:val="2"/>
            <w:tcBorders>
              <w:top w:val="nil"/>
              <w:left w:val="nil"/>
              <w:bottom w:val="single" w:color="auto" w:sz="8" w:space="0"/>
              <w:right w:val="single" w:color="auto" w:sz="8" w:space="0"/>
            </w:tcBorders>
            <w:vAlign w:val="center"/>
          </w:tcPr>
          <w:p w14:paraId="7B04C675">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（二）部分公开（区分处理的，只计这一情形，不计其他情形）</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516729A9">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13</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107F2DE8">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0539520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2F390025">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49F4EA05">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6B78E63B">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56C5CF5B">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14</w:t>
            </w:r>
          </w:p>
        </w:tc>
      </w:tr>
      <w:tr w14:paraId="2707D535">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387C4128">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AA345B4">
            <w:pPr>
              <w:widowControl/>
              <w:spacing w:line="260" w:lineRule="exact"/>
              <w:jc w:val="both"/>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（三）不予公开</w:t>
            </w: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1099FE71">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1.属于国家秘密</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812F073">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3</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4AFE775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1</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4967FD0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7EDD1CAE">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3A1E9A3E">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9CB9E3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044FC09">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4</w:t>
            </w:r>
          </w:p>
        </w:tc>
      </w:tr>
      <w:tr w14:paraId="43C7FAD5">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3316C4A4">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1EABFD4A">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B985914">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2.其他法律行政法规禁止公开</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3964BAF3">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7BF1B295">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63D86AE0">
            <w:pPr>
              <w:widowControl/>
              <w:spacing w:line="260" w:lineRule="exact"/>
              <w:jc w:val="center"/>
              <w:rPr>
                <w:rFonts w:hint="default" w:ascii="Times New Roman" w:hAnsi="Times New Roman" w:cs="Times New Roman"/>
                <w:spacing w:val="-20"/>
                <w:sz w:val="20"/>
                <w:szCs w:val="20"/>
                <w:highlight w:val="none"/>
                <w:lang w:val="en-US"/>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43BA0944">
            <w:pPr>
              <w:widowControl/>
              <w:spacing w:line="260" w:lineRule="exact"/>
              <w:jc w:val="center"/>
              <w:rPr>
                <w:rFonts w:hint="default" w:ascii="Times New Roman" w:hAnsi="Times New Roman" w:cs="Times New Roman"/>
                <w:spacing w:val="-20"/>
                <w:sz w:val="20"/>
                <w:szCs w:val="20"/>
                <w:highlight w:val="none"/>
                <w:lang w:val="en-US"/>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35FC80DA">
            <w:pPr>
              <w:widowControl/>
              <w:spacing w:line="260" w:lineRule="exact"/>
              <w:jc w:val="center"/>
              <w:rPr>
                <w:rFonts w:hint="default" w:ascii="Times New Roman" w:hAnsi="Times New Roman" w:cs="Times New Roman"/>
                <w:spacing w:val="-20"/>
                <w:sz w:val="20"/>
                <w:szCs w:val="20"/>
                <w:highlight w:val="none"/>
                <w:lang w:val="en-US"/>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6E521735">
            <w:pPr>
              <w:widowControl/>
              <w:spacing w:line="260" w:lineRule="exact"/>
              <w:jc w:val="center"/>
              <w:rPr>
                <w:rFonts w:hint="default" w:ascii="Times New Roman" w:hAnsi="Times New Roman" w:cs="Times New Roman"/>
                <w:spacing w:val="-20"/>
                <w:sz w:val="20"/>
                <w:szCs w:val="20"/>
                <w:highlight w:val="none"/>
                <w:lang w:val="en-US"/>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69347D06">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r>
      <w:tr w14:paraId="610EEBA1">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78C19524">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433DAC4F">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17A42EFA">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3.危及“三安全一稳定”</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2F58076">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1F10080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6B65446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46D96FB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5F7FD59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FF4E57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3FDC6488">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20A1AF9A">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24532B36">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009F2CCD">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7B82DEA9">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4.保护第三方合法权益</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70D3151">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F77A89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22616C0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1310D98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5832A0C5">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3DCA0870">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1D3FF30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71D7A52E">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0115A5D8">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6569279A">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1D136C88">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5.属于三类内部事务信息</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3E53DAAD">
            <w:pPr>
              <w:widowControl/>
              <w:spacing w:line="260" w:lineRule="exact"/>
              <w:jc w:val="center"/>
              <w:rPr>
                <w:rFonts w:hint="default" w:ascii="Times New Roman" w:hAnsi="Times New Roman" w:eastAsia="方正楷体_GBK" w:cs="Times New Roman"/>
                <w:spacing w:val="-20"/>
                <w:sz w:val="20"/>
                <w:szCs w:val="20"/>
                <w:highlight w:val="none"/>
                <w:lang w:eastAsia="zh-CN"/>
              </w:rPr>
            </w:pPr>
            <w:r>
              <w:rPr>
                <w:rFonts w:hint="default" w:ascii="Times New Roman" w:hAnsi="Times New Roman" w:eastAsia="方正楷体_GBK" w:cs="Times New Roman"/>
                <w:spacing w:val="-20"/>
                <w:sz w:val="20"/>
                <w:szCs w:val="20"/>
                <w:highlight w:val="none"/>
                <w:lang w:val="en-US" w:eastAsia="zh-CN"/>
              </w:rPr>
              <w:t>4</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47D4C67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3DFE941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05B8BB3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649C9E40">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7F883E8">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7D86A8ED">
            <w:pPr>
              <w:widowControl/>
              <w:spacing w:line="260" w:lineRule="exact"/>
              <w:jc w:val="center"/>
              <w:rPr>
                <w:rFonts w:hint="default" w:ascii="Times New Roman" w:hAnsi="Times New Roman" w:cs="Times New Roman" w:eastAsiaTheme="minorEastAsia"/>
                <w:spacing w:val="-20"/>
                <w:sz w:val="20"/>
                <w:szCs w:val="20"/>
                <w:highlight w:val="none"/>
                <w:lang w:eastAsia="zh-CN"/>
              </w:rPr>
            </w:pPr>
            <w:r>
              <w:rPr>
                <w:rFonts w:hint="default" w:ascii="Times New Roman" w:hAnsi="Times New Roman" w:cs="Times New Roman"/>
                <w:spacing w:val="-20"/>
                <w:sz w:val="20"/>
                <w:szCs w:val="20"/>
                <w:highlight w:val="none"/>
                <w:lang w:val="en-US" w:eastAsia="zh-CN"/>
              </w:rPr>
              <w:t>4</w:t>
            </w:r>
          </w:p>
        </w:tc>
      </w:tr>
      <w:tr w14:paraId="1A3A605E">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36F59836">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1DBBA6F1">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49757A25">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6.属于四类过程性信息</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5DEC2B43">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1</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6456FB3">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6E27340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3E85A63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5EF06F8E">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327D3D4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092FEB29">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1</w:t>
            </w:r>
          </w:p>
        </w:tc>
      </w:tr>
      <w:tr w14:paraId="0A3ABACF">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39E30799">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17202D4F">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2083184B">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7.属于行政执法案卷</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060DAA87">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2B48D85D">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395E930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4651846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1C99CF0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4FEC889D">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776ABF1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019AB585">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3DCA169D">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2C7A2DDE">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6A02B9B2">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8.属于行政查询事项</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617F1F0D">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44D71493">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0518047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5B56EDF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4C78DFB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ED4F210">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19D629D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428FF678">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6B04468A">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6332995F">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（四）无法提供</w:t>
            </w: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47BBEA3F">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1.本机关不掌握相关政府信息</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02F3564D">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117</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433F212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1</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42EF92E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33F810D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7C10C53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46B68CA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2CFE9BA8">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118</w:t>
            </w:r>
          </w:p>
        </w:tc>
      </w:tr>
      <w:tr w14:paraId="465343DA">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6BA1FA0A">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0D023342">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580C6A8D">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2.没有现成信息需要另行制作</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33E4455F">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2</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DFD73A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499A435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69BAF9F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2E6ED75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6921324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7A13EBAA">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2</w:t>
            </w:r>
          </w:p>
        </w:tc>
      </w:tr>
      <w:tr w14:paraId="37DC3651">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543F70B3">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3BAF3AD2">
            <w:pPr>
              <w:widowControl/>
              <w:spacing w:line="260" w:lineRule="exact"/>
              <w:jc w:val="center"/>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795EBDB">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3.补正后申请内容仍不明确</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09EAEE">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855B75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020A1373">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21E26F9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1684F37E">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3AF1479">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5283DD2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02B31405">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281A8A03">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327405E1">
            <w:pPr>
              <w:widowControl/>
              <w:spacing w:line="260" w:lineRule="exact"/>
              <w:jc w:val="both"/>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（五）不予处理</w:t>
            </w: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5BB60C67">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1.信访举报投诉类申请</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27100433">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19</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7293EEAD">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13CEC460">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2E4C8A3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49C40588">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7614BBF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5D2BBB76">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19</w:t>
            </w:r>
          </w:p>
        </w:tc>
      </w:tr>
      <w:tr w14:paraId="4497C7F1">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6196D2FC">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1112E59D">
            <w:pPr>
              <w:widowControl/>
              <w:spacing w:line="260" w:lineRule="exact"/>
              <w:jc w:val="left"/>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251F6895">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2.重复申请</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6C33B437">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2</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94AD28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2C3B85F3">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2665664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2073D2B9">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34AF587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3DB154C9">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2</w:t>
            </w:r>
          </w:p>
        </w:tc>
      </w:tr>
      <w:tr w14:paraId="6018C2EC">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4AB5D38C">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0A28F2B3">
            <w:pPr>
              <w:widowControl/>
              <w:spacing w:line="260" w:lineRule="exact"/>
              <w:jc w:val="left"/>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76D5B24">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3.要求提供公开出版物</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277FABE">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634D745">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0917F2B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5D41C19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437006C5">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7234779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4CEE2BD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4CC494B2">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13E20177">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167FAEC6">
            <w:pPr>
              <w:widowControl/>
              <w:spacing w:line="260" w:lineRule="exact"/>
              <w:jc w:val="left"/>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34098741">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4.无正当理由大量反复申请</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2D7EA38">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274460D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1550252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1081A46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1D9C908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4A86A18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13F1688D">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6684D4E1">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055442E5">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top w:val="nil"/>
              <w:left w:val="nil"/>
              <w:bottom w:val="single" w:color="auto" w:sz="8" w:space="0"/>
              <w:right w:val="single" w:color="auto" w:sz="8" w:space="0"/>
            </w:tcBorders>
            <w:vAlign w:val="center"/>
          </w:tcPr>
          <w:p w14:paraId="75541C39">
            <w:pPr>
              <w:widowControl/>
              <w:spacing w:line="260" w:lineRule="exact"/>
              <w:jc w:val="left"/>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tcMar>
              <w:top w:w="0" w:type="dxa"/>
              <w:left w:w="108" w:type="dxa"/>
              <w:bottom w:w="0" w:type="dxa"/>
              <w:right w:w="108" w:type="dxa"/>
            </w:tcMar>
            <w:vAlign w:val="center"/>
          </w:tcPr>
          <w:p w14:paraId="6D95E757">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5.要求行政机关确认或重新出具已获取信息</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4C2E040E">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7EE1979D">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1E822F4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6C66559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1449A296">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16214CB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1CCD507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0E7CFBF6">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61F4B375">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restart"/>
            <w:tcBorders>
              <w:top w:val="nil"/>
              <w:left w:val="nil"/>
              <w:right w:val="single" w:color="auto" w:sz="8" w:space="0"/>
            </w:tcBorders>
            <w:vAlign w:val="center"/>
          </w:tcPr>
          <w:p w14:paraId="5653979A">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（六）其他处理</w:t>
            </w:r>
          </w:p>
        </w:tc>
        <w:tc>
          <w:tcPr>
            <w:tcW w:w="3099" w:type="dxa"/>
            <w:tcBorders>
              <w:top w:val="nil"/>
              <w:left w:val="nil"/>
              <w:bottom w:val="single" w:color="auto" w:sz="8" w:space="0"/>
              <w:right w:val="single" w:color="auto" w:sz="8" w:space="0"/>
            </w:tcBorders>
            <w:vAlign w:val="center"/>
          </w:tcPr>
          <w:p w14:paraId="3302DD9A">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1.申请人无正当理由逾期不补正、行政机关不再处理其政府信息公开申请</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A08476F">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7</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36F325B0">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49924FF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1FBB1E5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27C7945F">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7ABFCB7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1362CA29">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7</w:t>
            </w:r>
          </w:p>
        </w:tc>
      </w:tr>
      <w:tr w14:paraId="0BD1043F">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3EDC5071">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left w:val="nil"/>
              <w:right w:val="single" w:color="auto" w:sz="8" w:space="0"/>
            </w:tcBorders>
            <w:vAlign w:val="center"/>
          </w:tcPr>
          <w:p w14:paraId="26AB8487">
            <w:pPr>
              <w:widowControl/>
              <w:spacing w:line="260" w:lineRule="exact"/>
              <w:jc w:val="left"/>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vAlign w:val="center"/>
          </w:tcPr>
          <w:p w14:paraId="45E8A0F5">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2.申请人逾期未按收费通知要求缴纳费用、行政机关不再处理其政府信息公开申请</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63CE06FE">
            <w:pPr>
              <w:widowControl/>
              <w:spacing w:line="260" w:lineRule="exact"/>
              <w:jc w:val="center"/>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lang w:val="en-US" w:eastAsia="zh-CN"/>
              </w:rPr>
              <w:t>0</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1B63B233">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3FA27A7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3DAE987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7A162AA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34647C9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5AB4EDA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r>
      <w:tr w14:paraId="1EA75B11">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78AD1C50">
            <w:pPr>
              <w:widowControl/>
              <w:spacing w:line="260" w:lineRule="exact"/>
              <w:jc w:val="left"/>
              <w:rPr>
                <w:rFonts w:hint="default" w:ascii="Times New Roman" w:hAnsi="Times New Roman" w:eastAsia="方正楷体_GBK" w:cs="Times New Roman"/>
                <w:spacing w:val="-20"/>
                <w:sz w:val="20"/>
                <w:szCs w:val="20"/>
                <w:highlight w:val="none"/>
              </w:rPr>
            </w:pPr>
          </w:p>
        </w:tc>
        <w:tc>
          <w:tcPr>
            <w:tcW w:w="1315" w:type="dxa"/>
            <w:vMerge w:val="continue"/>
            <w:tcBorders>
              <w:left w:val="nil"/>
              <w:bottom w:val="single" w:color="auto" w:sz="8" w:space="0"/>
              <w:right w:val="single" w:color="auto" w:sz="8" w:space="0"/>
            </w:tcBorders>
            <w:vAlign w:val="center"/>
          </w:tcPr>
          <w:p w14:paraId="03A7ECA8">
            <w:pPr>
              <w:widowControl/>
              <w:spacing w:line="260" w:lineRule="exact"/>
              <w:jc w:val="left"/>
              <w:rPr>
                <w:rFonts w:hint="default" w:ascii="Times New Roman" w:hAnsi="Times New Roman" w:eastAsia="方正楷体_GBK" w:cs="Times New Roman"/>
                <w:spacing w:val="-20"/>
                <w:sz w:val="20"/>
                <w:szCs w:val="20"/>
                <w:highlight w:val="none"/>
              </w:rPr>
            </w:pPr>
          </w:p>
        </w:tc>
        <w:tc>
          <w:tcPr>
            <w:tcW w:w="3099" w:type="dxa"/>
            <w:tcBorders>
              <w:top w:val="nil"/>
              <w:left w:val="nil"/>
              <w:bottom w:val="single" w:color="auto" w:sz="8" w:space="0"/>
              <w:right w:val="single" w:color="auto" w:sz="8" w:space="0"/>
            </w:tcBorders>
            <w:vAlign w:val="center"/>
          </w:tcPr>
          <w:p w14:paraId="44CBE8AC">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其他</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151C333F">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13</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68BC9699">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6712EDA4">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0DAD9D0D">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62288ED7">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2</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4B575F38">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3FEE3B1D">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15</w:t>
            </w:r>
          </w:p>
        </w:tc>
      </w:tr>
      <w:tr w14:paraId="7C6D2FB3">
        <w:tblPrEx>
          <w:tblCellMar>
            <w:top w:w="0" w:type="dxa"/>
            <w:left w:w="0" w:type="dxa"/>
            <w:bottom w:w="0" w:type="dxa"/>
            <w:right w:w="0" w:type="dxa"/>
          </w:tblCellMar>
        </w:tblPrEx>
        <w:trPr>
          <w:trHeight w:val="397" w:hRule="atLeast"/>
          <w:jc w:val="center"/>
        </w:trPr>
        <w:tc>
          <w:tcPr>
            <w:tcW w:w="481" w:type="dxa"/>
            <w:vMerge w:val="continue"/>
            <w:tcBorders>
              <w:top w:val="nil"/>
              <w:left w:val="single" w:color="auto" w:sz="8" w:space="0"/>
              <w:bottom w:val="single" w:color="auto" w:sz="8" w:space="0"/>
              <w:right w:val="single" w:color="auto" w:sz="8" w:space="0"/>
            </w:tcBorders>
            <w:vAlign w:val="center"/>
          </w:tcPr>
          <w:p w14:paraId="7C10D47B">
            <w:pPr>
              <w:widowControl/>
              <w:spacing w:line="260" w:lineRule="exact"/>
              <w:jc w:val="left"/>
              <w:rPr>
                <w:rFonts w:hint="default" w:ascii="Times New Roman" w:hAnsi="Times New Roman" w:eastAsia="方正楷体_GBK" w:cs="Times New Roman"/>
                <w:spacing w:val="-20"/>
                <w:sz w:val="20"/>
                <w:szCs w:val="20"/>
                <w:highlight w:val="none"/>
              </w:rPr>
            </w:pPr>
          </w:p>
        </w:tc>
        <w:tc>
          <w:tcPr>
            <w:tcW w:w="4414" w:type="dxa"/>
            <w:gridSpan w:val="2"/>
            <w:tcBorders>
              <w:top w:val="nil"/>
              <w:left w:val="nil"/>
              <w:bottom w:val="single" w:color="auto" w:sz="8" w:space="0"/>
              <w:right w:val="single" w:color="auto" w:sz="8" w:space="0"/>
            </w:tcBorders>
            <w:vAlign w:val="center"/>
          </w:tcPr>
          <w:p w14:paraId="33EDFB87">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20"/>
                <w:sz w:val="20"/>
                <w:szCs w:val="20"/>
                <w:highlight w:val="none"/>
              </w:rPr>
              <w:t>（七）总计</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735B2F6D">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194</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4E9CABA">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2</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1F8C14F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5E37F472">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3D6BD56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3</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4C30B9FC">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45CCA09D">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199</w:t>
            </w:r>
          </w:p>
        </w:tc>
      </w:tr>
      <w:tr w14:paraId="0FB27A94">
        <w:tblPrEx>
          <w:tblCellMar>
            <w:top w:w="0" w:type="dxa"/>
            <w:left w:w="0" w:type="dxa"/>
            <w:bottom w:w="0" w:type="dxa"/>
            <w:right w:w="0" w:type="dxa"/>
          </w:tblCellMar>
        </w:tblPrEx>
        <w:trPr>
          <w:trHeight w:val="397" w:hRule="atLeast"/>
          <w:jc w:val="center"/>
        </w:trPr>
        <w:tc>
          <w:tcPr>
            <w:tcW w:w="4895" w:type="dxa"/>
            <w:gridSpan w:val="3"/>
            <w:tcBorders>
              <w:top w:val="nil"/>
              <w:left w:val="single" w:color="auto" w:sz="8" w:space="0"/>
              <w:bottom w:val="single" w:color="auto" w:sz="8" w:space="0"/>
              <w:right w:val="single" w:color="auto" w:sz="8" w:space="0"/>
            </w:tcBorders>
            <w:vAlign w:val="center"/>
          </w:tcPr>
          <w:p w14:paraId="49B71006">
            <w:pPr>
              <w:widowControl/>
              <w:spacing w:line="260" w:lineRule="exact"/>
              <w:jc w:val="left"/>
              <w:rPr>
                <w:rFonts w:hint="default" w:ascii="Times New Roman" w:hAnsi="Times New Roman" w:eastAsia="方正楷体_GBK" w:cs="Times New Roman"/>
                <w:spacing w:val="-20"/>
                <w:sz w:val="20"/>
                <w:szCs w:val="20"/>
                <w:highlight w:val="none"/>
              </w:rPr>
            </w:pPr>
            <w:r>
              <w:rPr>
                <w:rFonts w:hint="default" w:ascii="Times New Roman" w:hAnsi="Times New Roman" w:eastAsia="方正楷体_GBK" w:cs="Times New Roman"/>
                <w:spacing w:val="0"/>
                <w:sz w:val="20"/>
                <w:szCs w:val="20"/>
                <w:highlight w:val="none"/>
              </w:rPr>
              <w:t>四、结转下年度继续办理</w:t>
            </w:r>
          </w:p>
        </w:tc>
        <w:tc>
          <w:tcPr>
            <w:tcW w:w="750" w:type="dxa"/>
            <w:tcBorders>
              <w:top w:val="nil"/>
              <w:left w:val="nil"/>
              <w:bottom w:val="single" w:color="auto" w:sz="8" w:space="0"/>
              <w:right w:val="single" w:color="auto" w:sz="8" w:space="0"/>
            </w:tcBorders>
            <w:tcMar>
              <w:top w:w="0" w:type="dxa"/>
              <w:left w:w="108" w:type="dxa"/>
              <w:bottom w:w="0" w:type="dxa"/>
              <w:right w:w="108" w:type="dxa"/>
            </w:tcMar>
            <w:vAlign w:val="center"/>
          </w:tcPr>
          <w:p w14:paraId="31832DF3">
            <w:pPr>
              <w:widowControl/>
              <w:spacing w:line="260" w:lineRule="exact"/>
              <w:jc w:val="center"/>
              <w:rPr>
                <w:rFonts w:hint="default" w:ascii="Times New Roman" w:hAnsi="Times New Roman" w:eastAsia="方正楷体_GBK" w:cs="Times New Roman"/>
                <w:spacing w:val="-20"/>
                <w:sz w:val="20"/>
                <w:szCs w:val="20"/>
                <w:highlight w:val="none"/>
                <w:lang w:val="en-US" w:eastAsia="zh-CN"/>
              </w:rPr>
            </w:pPr>
            <w:r>
              <w:rPr>
                <w:rFonts w:hint="default" w:ascii="Times New Roman" w:hAnsi="Times New Roman" w:eastAsia="方正楷体_GBK" w:cs="Times New Roman"/>
                <w:spacing w:val="-20"/>
                <w:sz w:val="20"/>
                <w:szCs w:val="20"/>
                <w:highlight w:val="none"/>
                <w:lang w:val="en-US" w:eastAsia="zh-CN"/>
              </w:rPr>
              <w:t>6</w:t>
            </w:r>
          </w:p>
        </w:tc>
        <w:tc>
          <w:tcPr>
            <w:tcW w:w="630" w:type="dxa"/>
            <w:tcBorders>
              <w:top w:val="nil"/>
              <w:left w:val="nil"/>
              <w:bottom w:val="single" w:color="auto" w:sz="8" w:space="0"/>
              <w:right w:val="single" w:color="auto" w:sz="8" w:space="0"/>
            </w:tcBorders>
            <w:tcMar>
              <w:top w:w="0" w:type="dxa"/>
              <w:left w:w="108" w:type="dxa"/>
              <w:bottom w:w="0" w:type="dxa"/>
              <w:right w:w="108" w:type="dxa"/>
            </w:tcMar>
            <w:vAlign w:val="center"/>
          </w:tcPr>
          <w:p w14:paraId="519F0EFB">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24" w:type="dxa"/>
            <w:tcBorders>
              <w:top w:val="nil"/>
              <w:left w:val="nil"/>
              <w:bottom w:val="single" w:color="auto" w:sz="8" w:space="0"/>
              <w:right w:val="single" w:color="auto" w:sz="8" w:space="0"/>
            </w:tcBorders>
            <w:tcMar>
              <w:top w:w="0" w:type="dxa"/>
              <w:left w:w="108" w:type="dxa"/>
              <w:bottom w:w="0" w:type="dxa"/>
              <w:right w:w="108" w:type="dxa"/>
            </w:tcMar>
            <w:vAlign w:val="center"/>
          </w:tcPr>
          <w:p w14:paraId="637DD7E3">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737" w:type="dxa"/>
            <w:tcBorders>
              <w:top w:val="nil"/>
              <w:left w:val="nil"/>
              <w:bottom w:val="single" w:color="auto" w:sz="8" w:space="0"/>
              <w:right w:val="single" w:color="auto" w:sz="8" w:space="0"/>
            </w:tcBorders>
            <w:tcMar>
              <w:top w:w="0" w:type="dxa"/>
              <w:left w:w="108" w:type="dxa"/>
              <w:bottom w:w="0" w:type="dxa"/>
              <w:right w:w="108" w:type="dxa"/>
            </w:tcMar>
            <w:vAlign w:val="center"/>
          </w:tcPr>
          <w:p w14:paraId="681FDD6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89" w:type="dxa"/>
            <w:tcBorders>
              <w:top w:val="nil"/>
              <w:left w:val="nil"/>
              <w:bottom w:val="single" w:color="auto" w:sz="8" w:space="0"/>
              <w:right w:val="single" w:color="auto" w:sz="8" w:space="0"/>
            </w:tcBorders>
            <w:tcMar>
              <w:top w:w="0" w:type="dxa"/>
              <w:left w:w="108" w:type="dxa"/>
              <w:bottom w:w="0" w:type="dxa"/>
              <w:right w:w="108" w:type="dxa"/>
            </w:tcMar>
            <w:vAlign w:val="center"/>
          </w:tcPr>
          <w:p w14:paraId="09F64031">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529" w:type="dxa"/>
            <w:tcBorders>
              <w:top w:val="nil"/>
              <w:left w:val="nil"/>
              <w:bottom w:val="single" w:color="auto" w:sz="8" w:space="0"/>
              <w:right w:val="single" w:color="auto" w:sz="8" w:space="0"/>
            </w:tcBorders>
            <w:tcMar>
              <w:top w:w="0" w:type="dxa"/>
              <w:left w:w="108" w:type="dxa"/>
              <w:bottom w:w="0" w:type="dxa"/>
              <w:right w:w="108" w:type="dxa"/>
            </w:tcMar>
            <w:vAlign w:val="center"/>
          </w:tcPr>
          <w:p w14:paraId="63F0561C">
            <w:pPr>
              <w:widowControl/>
              <w:spacing w:line="260" w:lineRule="exact"/>
              <w:jc w:val="center"/>
              <w:rPr>
                <w:rFonts w:hint="default" w:ascii="Times New Roman" w:hAnsi="Times New Roman" w:cs="Times New Roman"/>
                <w:spacing w:val="-20"/>
                <w:sz w:val="20"/>
                <w:szCs w:val="20"/>
                <w:highlight w:val="none"/>
              </w:rPr>
            </w:pPr>
            <w:r>
              <w:rPr>
                <w:rFonts w:hint="default" w:ascii="Times New Roman" w:hAnsi="Times New Roman" w:cs="Times New Roman"/>
                <w:spacing w:val="-20"/>
                <w:sz w:val="20"/>
                <w:szCs w:val="20"/>
                <w:highlight w:val="none"/>
                <w:lang w:val="en-US" w:eastAsia="zh-CN"/>
              </w:rPr>
              <w:t>0</w:t>
            </w:r>
          </w:p>
        </w:tc>
        <w:tc>
          <w:tcPr>
            <w:tcW w:w="616" w:type="dxa"/>
            <w:tcBorders>
              <w:top w:val="nil"/>
              <w:left w:val="nil"/>
              <w:bottom w:val="single" w:color="auto" w:sz="8" w:space="0"/>
              <w:right w:val="single" w:color="auto" w:sz="8" w:space="0"/>
            </w:tcBorders>
            <w:tcMar>
              <w:top w:w="0" w:type="dxa"/>
              <w:left w:w="108" w:type="dxa"/>
              <w:bottom w:w="0" w:type="dxa"/>
              <w:right w:w="108" w:type="dxa"/>
            </w:tcMar>
            <w:vAlign w:val="center"/>
          </w:tcPr>
          <w:p w14:paraId="635C1784">
            <w:pPr>
              <w:widowControl/>
              <w:spacing w:line="260" w:lineRule="exact"/>
              <w:jc w:val="center"/>
              <w:rPr>
                <w:rFonts w:hint="default" w:ascii="Times New Roman" w:hAnsi="Times New Roman" w:cs="Times New Roman" w:eastAsiaTheme="minorEastAsia"/>
                <w:spacing w:val="-20"/>
                <w:sz w:val="20"/>
                <w:szCs w:val="20"/>
                <w:highlight w:val="none"/>
                <w:lang w:val="en-US" w:eastAsia="zh-CN"/>
              </w:rPr>
            </w:pPr>
            <w:r>
              <w:rPr>
                <w:rFonts w:hint="default" w:ascii="Times New Roman" w:hAnsi="Times New Roman" w:cs="Times New Roman"/>
                <w:spacing w:val="-20"/>
                <w:sz w:val="20"/>
                <w:szCs w:val="20"/>
                <w:highlight w:val="none"/>
                <w:lang w:val="en-US" w:eastAsia="zh-CN"/>
              </w:rPr>
              <w:t>6</w:t>
            </w:r>
          </w:p>
        </w:tc>
      </w:tr>
    </w:tbl>
    <w:p w14:paraId="1B8AC0DB">
      <w:pPr>
        <w:pStyle w:val="9"/>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leftChars="0"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val="en-US" w:eastAsia="zh-CN"/>
        </w:rPr>
        <w:t>四、</w:t>
      </w:r>
      <w:r>
        <w:rPr>
          <w:rFonts w:hint="default" w:ascii="Times New Roman" w:hAnsi="Times New Roman" w:eastAsia="方正黑体_GBK" w:cs="Times New Roman"/>
          <w:sz w:val="32"/>
          <w:szCs w:val="32"/>
          <w:highlight w:val="none"/>
        </w:rPr>
        <w:t>政府信息公开行政复议、行政诉讼情况</w:t>
      </w:r>
    </w:p>
    <w:tbl>
      <w:tblPr>
        <w:tblStyle w:val="5"/>
        <w:tblW w:w="9462" w:type="dxa"/>
        <w:jc w:val="center"/>
        <w:tblLayout w:type="autofit"/>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997"/>
      </w:tblGrid>
      <w:tr w14:paraId="0E109709">
        <w:tblPrEx>
          <w:tblCellMar>
            <w:top w:w="0" w:type="dxa"/>
            <w:left w:w="0" w:type="dxa"/>
            <w:bottom w:w="0" w:type="dxa"/>
            <w:right w:w="0" w:type="dxa"/>
          </w:tblCellMar>
        </w:tblPrEx>
        <w:trPr>
          <w:trHeight w:val="218" w:hRule="atLeast"/>
          <w:jc w:val="center"/>
        </w:trPr>
        <w:tc>
          <w:tcPr>
            <w:tcW w:w="3074"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41D8E59">
            <w:pPr>
              <w:widowControl/>
              <w:jc w:val="center"/>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行政复议</w:t>
            </w:r>
          </w:p>
        </w:tc>
        <w:tc>
          <w:tcPr>
            <w:tcW w:w="6388" w:type="dxa"/>
            <w:gridSpan w:val="10"/>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977EAC4">
            <w:pPr>
              <w:widowControl/>
              <w:jc w:val="center"/>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行政诉讼</w:t>
            </w:r>
          </w:p>
        </w:tc>
      </w:tr>
      <w:tr w14:paraId="51FF5B14">
        <w:tblPrEx>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B6D9A85">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结果维持</w:t>
            </w:r>
          </w:p>
        </w:tc>
        <w:tc>
          <w:tcPr>
            <w:tcW w:w="604" w:type="dxa"/>
            <w:vMerge w:val="restart"/>
            <w:tcBorders>
              <w:top w:val="nil"/>
              <w:left w:val="nil"/>
              <w:bottom w:val="single" w:color="auto" w:sz="8" w:space="0"/>
              <w:right w:val="single" w:color="auto" w:sz="8" w:space="0"/>
            </w:tcBorders>
            <w:tcMar>
              <w:top w:w="0" w:type="dxa"/>
              <w:left w:w="108" w:type="dxa"/>
              <w:bottom w:w="0" w:type="dxa"/>
              <w:right w:w="108" w:type="dxa"/>
            </w:tcMar>
            <w:vAlign w:val="center"/>
          </w:tcPr>
          <w:p w14:paraId="7A64E920">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结果纠正</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30EE67D">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其他结果</w:t>
            </w:r>
          </w:p>
        </w:tc>
        <w:tc>
          <w:tcPr>
            <w:tcW w:w="604"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F6DD17E">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尚未审结</w:t>
            </w:r>
          </w:p>
        </w:tc>
        <w:tc>
          <w:tcPr>
            <w:tcW w:w="658" w:type="dxa"/>
            <w:vMerge w:val="restart"/>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518C1EA9">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总计</w:t>
            </w:r>
          </w:p>
        </w:tc>
        <w:tc>
          <w:tcPr>
            <w:tcW w:w="2970"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235186C">
            <w:pPr>
              <w:widowControl/>
              <w:jc w:val="center"/>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未经复议直接起诉</w:t>
            </w:r>
          </w:p>
        </w:tc>
        <w:tc>
          <w:tcPr>
            <w:tcW w:w="3418" w:type="dxa"/>
            <w:gridSpan w:val="5"/>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D9602BE">
            <w:pPr>
              <w:widowControl/>
              <w:jc w:val="center"/>
              <w:rPr>
                <w:rFonts w:hint="default" w:ascii="Times New Roman" w:hAnsi="Times New Roman" w:eastAsia="黑体" w:cs="Times New Roman"/>
                <w:sz w:val="20"/>
                <w:szCs w:val="20"/>
                <w:highlight w:val="none"/>
              </w:rPr>
            </w:pPr>
            <w:r>
              <w:rPr>
                <w:rFonts w:hint="default" w:ascii="Times New Roman" w:hAnsi="Times New Roman" w:eastAsia="黑体" w:cs="Times New Roman"/>
                <w:sz w:val="20"/>
                <w:szCs w:val="20"/>
                <w:highlight w:val="none"/>
              </w:rPr>
              <w:t>复议后起诉</w:t>
            </w:r>
          </w:p>
        </w:tc>
      </w:tr>
      <w:tr w14:paraId="21091EBF">
        <w:tblPrEx>
          <w:tblCellMar>
            <w:top w:w="0" w:type="dxa"/>
            <w:left w:w="0" w:type="dxa"/>
            <w:bottom w:w="0" w:type="dxa"/>
            <w:right w:w="0" w:type="dxa"/>
          </w:tblCellMar>
        </w:tblPrEx>
        <w:trPr>
          <w:jc w:val="center"/>
        </w:trPr>
        <w:tc>
          <w:tcPr>
            <w:tcW w:w="0" w:type="auto"/>
            <w:vMerge w:val="continue"/>
            <w:tcBorders>
              <w:top w:val="nil"/>
              <w:left w:val="single" w:color="auto" w:sz="8" w:space="0"/>
              <w:bottom w:val="single" w:color="auto" w:sz="8" w:space="0"/>
              <w:right w:val="single" w:color="auto" w:sz="8" w:space="0"/>
            </w:tcBorders>
            <w:vAlign w:val="center"/>
          </w:tcPr>
          <w:p w14:paraId="1D230BD0">
            <w:pPr>
              <w:widowControl/>
              <w:jc w:val="left"/>
              <w:rPr>
                <w:rFonts w:hint="default" w:ascii="Times New Roman" w:hAnsi="Times New Roman" w:eastAsia="方正楷体_GBK" w:cs="Times New Roman"/>
                <w:sz w:val="20"/>
                <w:szCs w:val="20"/>
                <w:highlight w:val="none"/>
              </w:rPr>
            </w:pPr>
          </w:p>
        </w:tc>
        <w:tc>
          <w:tcPr>
            <w:tcW w:w="0" w:type="auto"/>
            <w:vMerge w:val="continue"/>
            <w:tcBorders>
              <w:top w:val="nil"/>
              <w:left w:val="nil"/>
              <w:bottom w:val="single" w:color="auto" w:sz="8" w:space="0"/>
              <w:right w:val="single" w:color="auto" w:sz="8" w:space="0"/>
            </w:tcBorders>
            <w:vAlign w:val="center"/>
          </w:tcPr>
          <w:p w14:paraId="04D42666">
            <w:pPr>
              <w:widowControl/>
              <w:jc w:val="left"/>
              <w:rPr>
                <w:rFonts w:hint="default" w:ascii="Times New Roman" w:hAnsi="Times New Roman" w:eastAsia="方正楷体_GBK" w:cs="Times New Roman"/>
                <w:sz w:val="20"/>
                <w:szCs w:val="20"/>
                <w:highlight w:val="none"/>
              </w:rPr>
            </w:pPr>
          </w:p>
        </w:tc>
        <w:tc>
          <w:tcPr>
            <w:tcW w:w="0" w:type="auto"/>
            <w:vMerge w:val="continue"/>
            <w:tcBorders>
              <w:top w:val="single" w:color="auto" w:sz="8" w:space="0"/>
              <w:left w:val="nil"/>
              <w:bottom w:val="single" w:color="auto" w:sz="8" w:space="0"/>
              <w:right w:val="single" w:color="auto" w:sz="8" w:space="0"/>
            </w:tcBorders>
            <w:vAlign w:val="center"/>
          </w:tcPr>
          <w:p w14:paraId="028A5299">
            <w:pPr>
              <w:widowControl/>
              <w:jc w:val="left"/>
              <w:rPr>
                <w:rFonts w:hint="default" w:ascii="Times New Roman" w:hAnsi="Times New Roman" w:eastAsia="方正楷体_GBK" w:cs="Times New Roman"/>
                <w:sz w:val="20"/>
                <w:szCs w:val="20"/>
                <w:highlight w:val="none"/>
              </w:rPr>
            </w:pPr>
          </w:p>
        </w:tc>
        <w:tc>
          <w:tcPr>
            <w:tcW w:w="0" w:type="auto"/>
            <w:vMerge w:val="continue"/>
            <w:tcBorders>
              <w:top w:val="single" w:color="auto" w:sz="8" w:space="0"/>
              <w:left w:val="nil"/>
              <w:bottom w:val="single" w:color="auto" w:sz="8" w:space="0"/>
              <w:right w:val="single" w:color="auto" w:sz="8" w:space="0"/>
            </w:tcBorders>
            <w:vAlign w:val="center"/>
          </w:tcPr>
          <w:p w14:paraId="4E0B3EEE">
            <w:pPr>
              <w:widowControl/>
              <w:jc w:val="left"/>
              <w:rPr>
                <w:rFonts w:hint="default" w:ascii="Times New Roman" w:hAnsi="Times New Roman" w:eastAsia="方正楷体_GBK" w:cs="Times New Roman"/>
                <w:sz w:val="20"/>
                <w:szCs w:val="20"/>
                <w:highlight w:val="none"/>
              </w:rPr>
            </w:pPr>
          </w:p>
        </w:tc>
        <w:tc>
          <w:tcPr>
            <w:tcW w:w="0" w:type="auto"/>
            <w:vMerge w:val="continue"/>
            <w:tcBorders>
              <w:top w:val="single" w:color="auto" w:sz="8" w:space="0"/>
              <w:left w:val="nil"/>
              <w:bottom w:val="single" w:color="auto" w:sz="8" w:space="0"/>
              <w:right w:val="single" w:color="auto" w:sz="8" w:space="0"/>
            </w:tcBorders>
            <w:vAlign w:val="center"/>
          </w:tcPr>
          <w:p w14:paraId="2EE275BD">
            <w:pPr>
              <w:widowControl/>
              <w:jc w:val="left"/>
              <w:rPr>
                <w:rFonts w:hint="default" w:ascii="Times New Roman" w:hAnsi="Times New Roman" w:eastAsia="方正楷体_GBK" w:cs="Times New Roman"/>
                <w:sz w:val="20"/>
                <w:szCs w:val="20"/>
                <w:highlight w:val="none"/>
              </w:rPr>
            </w:pP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14:paraId="53198CD5">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结果维持</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003ACC6C">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7DD9B889">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其他结果</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26BA04D">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尚未审结</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4E19BFCC">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color w:val="000000"/>
                <w:sz w:val="20"/>
                <w:szCs w:val="20"/>
                <w:highlight w:val="none"/>
              </w:rPr>
              <w:t>总计</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1A5C8B6F">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结果维持</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251C1D61">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结果纠正</w:t>
            </w:r>
          </w:p>
        </w:tc>
        <w:tc>
          <w:tcPr>
            <w:tcW w:w="605"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6B85813">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color w:val="000000"/>
                <w:sz w:val="20"/>
                <w:szCs w:val="20"/>
                <w:highlight w:val="none"/>
              </w:rPr>
              <w:t>其他结果</w:t>
            </w:r>
          </w:p>
        </w:tc>
        <w:tc>
          <w:tcPr>
            <w:tcW w:w="606"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35409AEF">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sz w:val="20"/>
                <w:szCs w:val="20"/>
                <w:highlight w:val="none"/>
              </w:rPr>
              <w:t>尚未审结</w:t>
            </w:r>
          </w:p>
        </w:tc>
        <w:tc>
          <w:tcPr>
            <w:tcW w:w="997" w:type="dxa"/>
            <w:tcBorders>
              <w:top w:val="single" w:color="auto" w:sz="8" w:space="0"/>
              <w:left w:val="nil"/>
              <w:bottom w:val="single" w:color="auto" w:sz="8" w:space="0"/>
              <w:right w:val="single" w:color="auto" w:sz="8" w:space="0"/>
            </w:tcBorders>
            <w:tcMar>
              <w:top w:w="0" w:type="dxa"/>
              <w:left w:w="108" w:type="dxa"/>
              <w:bottom w:w="0" w:type="dxa"/>
              <w:right w:w="108" w:type="dxa"/>
            </w:tcMar>
            <w:vAlign w:val="center"/>
          </w:tcPr>
          <w:p w14:paraId="0C505A4E">
            <w:pPr>
              <w:widowControl/>
              <w:jc w:val="center"/>
              <w:rPr>
                <w:rFonts w:hint="default" w:ascii="Times New Roman" w:hAnsi="Times New Roman" w:eastAsia="方正楷体_GBK" w:cs="Times New Roman"/>
                <w:sz w:val="20"/>
                <w:szCs w:val="20"/>
                <w:highlight w:val="none"/>
              </w:rPr>
            </w:pPr>
            <w:r>
              <w:rPr>
                <w:rFonts w:hint="default" w:ascii="Times New Roman" w:hAnsi="Times New Roman" w:eastAsia="方正楷体_GBK" w:cs="Times New Roman"/>
                <w:color w:val="000000"/>
                <w:sz w:val="20"/>
                <w:szCs w:val="20"/>
                <w:highlight w:val="none"/>
              </w:rPr>
              <w:t>总计</w:t>
            </w:r>
          </w:p>
        </w:tc>
      </w:tr>
      <w:tr w14:paraId="13F3D086">
        <w:tblPrEx>
          <w:tblCellMar>
            <w:top w:w="0" w:type="dxa"/>
            <w:left w:w="0" w:type="dxa"/>
            <w:bottom w:w="0" w:type="dxa"/>
            <w:right w:w="0" w:type="dxa"/>
          </w:tblCellMar>
        </w:tblPrEx>
        <w:trPr>
          <w:jc w:val="center"/>
        </w:trPr>
        <w:tc>
          <w:tcPr>
            <w:tcW w:w="604"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4558F151">
            <w:pPr>
              <w:widowControl/>
              <w:jc w:val="center"/>
              <w:rPr>
                <w:rFonts w:hint="default" w:ascii="Times New Roman" w:hAnsi="Times New Roman" w:eastAsia="方正楷体_GBK" w:cs="Times New Roman"/>
                <w:sz w:val="16"/>
                <w:szCs w:val="16"/>
                <w:highlight w:val="none"/>
                <w:lang w:eastAsia="zh-CN"/>
              </w:rPr>
            </w:pPr>
            <w:r>
              <w:rPr>
                <w:rFonts w:hint="default" w:ascii="Times New Roman" w:hAnsi="Times New Roman" w:eastAsia="方正仿宋_GBK" w:cs="Times New Roman"/>
                <w:sz w:val="24"/>
                <w:szCs w:val="24"/>
                <w:highlight w:val="none"/>
                <w:lang w:val="en-US" w:eastAsia="zh-CN"/>
              </w:rPr>
              <w:t>2</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14:paraId="0023B8AB">
            <w:pPr>
              <w:widowControl/>
              <w:jc w:val="center"/>
              <w:rPr>
                <w:rFonts w:hint="default" w:ascii="Times New Roman" w:hAnsi="Times New Roman" w:eastAsia="方正楷体_GBK" w:cs="Times New Roman"/>
                <w:sz w:val="16"/>
                <w:szCs w:val="16"/>
                <w:highlight w:val="none"/>
              </w:rPr>
            </w:pPr>
            <w:r>
              <w:rPr>
                <w:rFonts w:hint="default" w:ascii="Times New Roman" w:hAnsi="Times New Roman" w:eastAsia="方正仿宋_GBK" w:cs="Times New Roman"/>
                <w:sz w:val="24"/>
                <w:szCs w:val="24"/>
                <w:highlight w:val="none"/>
              </w:rPr>
              <w:t>0</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14:paraId="328EF107">
            <w:pPr>
              <w:widowControl/>
              <w:jc w:val="center"/>
              <w:rPr>
                <w:rFonts w:hint="default" w:ascii="Times New Roman" w:hAnsi="Times New Roman" w:eastAsia="方正楷体_GBK" w:cs="Times New Roman"/>
                <w:sz w:val="16"/>
                <w:szCs w:val="16"/>
                <w:highlight w:val="none"/>
                <w:lang w:eastAsia="zh-CN"/>
              </w:rPr>
            </w:pPr>
            <w:r>
              <w:rPr>
                <w:rFonts w:hint="default" w:ascii="Times New Roman" w:hAnsi="Times New Roman" w:eastAsia="方正仿宋_GBK" w:cs="Times New Roman"/>
                <w:sz w:val="24"/>
                <w:szCs w:val="24"/>
                <w:highlight w:val="none"/>
                <w:lang w:val="en-US" w:eastAsia="zh-CN"/>
              </w:rPr>
              <w:t>1</w:t>
            </w:r>
          </w:p>
        </w:tc>
        <w:tc>
          <w:tcPr>
            <w:tcW w:w="604" w:type="dxa"/>
            <w:tcBorders>
              <w:top w:val="nil"/>
              <w:left w:val="nil"/>
              <w:bottom w:val="single" w:color="auto" w:sz="8" w:space="0"/>
              <w:right w:val="single" w:color="auto" w:sz="8" w:space="0"/>
            </w:tcBorders>
            <w:tcMar>
              <w:top w:w="0" w:type="dxa"/>
              <w:left w:w="108" w:type="dxa"/>
              <w:bottom w:w="0" w:type="dxa"/>
              <w:right w:w="108" w:type="dxa"/>
            </w:tcMar>
            <w:vAlign w:val="center"/>
          </w:tcPr>
          <w:p w14:paraId="0BC8A685">
            <w:pPr>
              <w:widowControl/>
              <w:jc w:val="center"/>
              <w:rPr>
                <w:rFonts w:hint="default" w:ascii="Times New Roman" w:hAnsi="Times New Roman" w:eastAsia="方正楷体_GBK" w:cs="Times New Roman"/>
                <w:sz w:val="16"/>
                <w:szCs w:val="16"/>
                <w:highlight w:val="none"/>
              </w:rPr>
            </w:pPr>
            <w:r>
              <w:rPr>
                <w:rFonts w:hint="default" w:ascii="Times New Roman" w:hAnsi="Times New Roman" w:eastAsia="方正仿宋_GBK" w:cs="Times New Roman"/>
                <w:sz w:val="24"/>
                <w:szCs w:val="24"/>
                <w:highlight w:val="none"/>
              </w:rPr>
              <w:t>1</w:t>
            </w:r>
          </w:p>
        </w:tc>
        <w:tc>
          <w:tcPr>
            <w:tcW w:w="658" w:type="dxa"/>
            <w:tcBorders>
              <w:top w:val="nil"/>
              <w:left w:val="nil"/>
              <w:bottom w:val="single" w:color="auto" w:sz="8" w:space="0"/>
              <w:right w:val="single" w:color="auto" w:sz="8" w:space="0"/>
            </w:tcBorders>
            <w:tcMar>
              <w:top w:w="0" w:type="dxa"/>
              <w:left w:w="108" w:type="dxa"/>
              <w:bottom w:w="0" w:type="dxa"/>
              <w:right w:w="108" w:type="dxa"/>
            </w:tcMar>
            <w:vAlign w:val="center"/>
          </w:tcPr>
          <w:p w14:paraId="71F6807E">
            <w:pPr>
              <w:widowControl/>
              <w:jc w:val="center"/>
              <w:rPr>
                <w:rFonts w:hint="default" w:ascii="Times New Roman" w:hAnsi="Times New Roman" w:eastAsia="方正楷体_GBK" w:cs="Times New Roman"/>
                <w:sz w:val="16"/>
                <w:szCs w:val="16"/>
                <w:highlight w:val="none"/>
                <w:lang w:eastAsia="zh-CN"/>
              </w:rPr>
            </w:pPr>
            <w:r>
              <w:rPr>
                <w:rFonts w:hint="default" w:ascii="Times New Roman" w:hAnsi="Times New Roman" w:eastAsia="方正仿宋_GBK" w:cs="Times New Roman"/>
                <w:sz w:val="24"/>
                <w:szCs w:val="24"/>
                <w:highlight w:val="none"/>
                <w:lang w:val="en-US" w:eastAsia="zh-CN"/>
              </w:rPr>
              <w:t>4</w:t>
            </w:r>
          </w:p>
        </w:tc>
        <w:tc>
          <w:tcPr>
            <w:tcW w:w="550" w:type="dxa"/>
            <w:tcBorders>
              <w:top w:val="nil"/>
              <w:left w:val="nil"/>
              <w:bottom w:val="single" w:color="auto" w:sz="8" w:space="0"/>
              <w:right w:val="single" w:color="auto" w:sz="8" w:space="0"/>
            </w:tcBorders>
            <w:tcMar>
              <w:top w:w="0" w:type="dxa"/>
              <w:left w:w="108" w:type="dxa"/>
              <w:bottom w:w="0" w:type="dxa"/>
              <w:right w:w="108" w:type="dxa"/>
            </w:tcMar>
            <w:vAlign w:val="center"/>
          </w:tcPr>
          <w:p w14:paraId="27FEC970">
            <w:pPr>
              <w:widowControl/>
              <w:jc w:val="center"/>
              <w:rPr>
                <w:rFonts w:hint="default" w:ascii="Times New Roman" w:hAnsi="Times New Roman" w:eastAsia="方正楷体_GBK" w:cs="Times New Roman"/>
                <w:sz w:val="16"/>
                <w:szCs w:val="16"/>
                <w:highlight w:val="none"/>
                <w:lang w:val="en-US" w:eastAsia="zh-CN"/>
              </w:rPr>
            </w:pPr>
            <w:r>
              <w:rPr>
                <w:rFonts w:hint="default" w:ascii="Times New Roman" w:hAnsi="Times New Roman" w:eastAsia="方正仿宋_GBK" w:cs="Times New Roman"/>
                <w:sz w:val="24"/>
                <w:szCs w:val="24"/>
                <w:highlight w:val="none"/>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03D1E135">
            <w:pPr>
              <w:widowControl/>
              <w:jc w:val="center"/>
              <w:rPr>
                <w:rFonts w:hint="default" w:ascii="Times New Roman" w:hAnsi="Times New Roman" w:eastAsia="方正楷体_GBK" w:cs="Times New Roman"/>
                <w:sz w:val="16"/>
                <w:szCs w:val="16"/>
                <w:highlight w:val="none"/>
              </w:rPr>
            </w:pPr>
            <w:r>
              <w:rPr>
                <w:rFonts w:hint="default" w:ascii="Times New Roman" w:hAnsi="Times New Roman" w:eastAsia="方正仿宋_GBK" w:cs="Times New Roman"/>
                <w:sz w:val="24"/>
                <w:szCs w:val="24"/>
                <w:highlight w:val="none"/>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70BDFF40">
            <w:pPr>
              <w:widowControl/>
              <w:jc w:val="center"/>
              <w:rPr>
                <w:rFonts w:hint="default" w:ascii="Times New Roman" w:hAnsi="Times New Roman" w:eastAsia="方正楷体_GBK" w:cs="Times New Roman"/>
                <w:sz w:val="16"/>
                <w:szCs w:val="16"/>
                <w:highlight w:val="none"/>
              </w:rPr>
            </w:pPr>
            <w:r>
              <w:rPr>
                <w:rFonts w:hint="default" w:ascii="Times New Roman" w:hAnsi="Times New Roman" w:eastAsia="方正仿宋_GBK" w:cs="Times New Roman"/>
                <w:sz w:val="24"/>
                <w:szCs w:val="24"/>
                <w:highlight w:val="none"/>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7D0E25DD">
            <w:pPr>
              <w:widowControl/>
              <w:jc w:val="center"/>
              <w:rPr>
                <w:rFonts w:hint="default" w:ascii="Times New Roman" w:hAnsi="Times New Roman" w:eastAsia="方正楷体_GBK" w:cs="Times New Roman"/>
                <w:sz w:val="16"/>
                <w:szCs w:val="16"/>
                <w:highlight w:val="none"/>
              </w:rPr>
            </w:pPr>
            <w:r>
              <w:rPr>
                <w:rFonts w:hint="default" w:ascii="Times New Roman" w:hAnsi="Times New Roman" w:eastAsia="方正仿宋_GBK" w:cs="Times New Roman"/>
                <w:sz w:val="24"/>
                <w:szCs w:val="24"/>
                <w:highlight w:val="none"/>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6F12EA27">
            <w:pPr>
              <w:widowControl/>
              <w:jc w:val="center"/>
              <w:rPr>
                <w:rFonts w:hint="default" w:ascii="Times New Roman" w:hAnsi="Times New Roman" w:eastAsia="方正楷体_GBK" w:cs="Times New Roman"/>
                <w:sz w:val="16"/>
                <w:szCs w:val="16"/>
                <w:highlight w:val="none"/>
                <w:lang w:val="en-US" w:eastAsia="zh-CN"/>
              </w:rPr>
            </w:pPr>
            <w:r>
              <w:rPr>
                <w:rFonts w:hint="default" w:ascii="Times New Roman" w:hAnsi="Times New Roman" w:eastAsia="方正仿宋_GBK" w:cs="Times New Roman"/>
                <w:sz w:val="24"/>
                <w:szCs w:val="24"/>
                <w:highlight w:val="none"/>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3B94989F">
            <w:pPr>
              <w:widowControl/>
              <w:jc w:val="center"/>
              <w:rPr>
                <w:rFonts w:hint="default" w:ascii="Times New Roman" w:hAnsi="Times New Roman" w:eastAsia="方正楷体_GBK" w:cs="Times New Roman"/>
                <w:sz w:val="16"/>
                <w:szCs w:val="16"/>
                <w:highlight w:val="none"/>
                <w:lang w:eastAsia="zh-CN"/>
              </w:rPr>
            </w:pPr>
            <w:r>
              <w:rPr>
                <w:rFonts w:hint="default" w:ascii="Times New Roman" w:hAnsi="Times New Roman" w:eastAsia="方正仿宋_GBK" w:cs="Times New Roman"/>
                <w:sz w:val="24"/>
                <w:szCs w:val="24"/>
                <w:highlight w:val="none"/>
                <w:lang w:val="en-US" w:eastAsia="zh-CN"/>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2631D834">
            <w:pPr>
              <w:widowControl/>
              <w:jc w:val="center"/>
              <w:rPr>
                <w:rFonts w:hint="default" w:ascii="Times New Roman" w:hAnsi="Times New Roman" w:eastAsia="方正楷体_GBK" w:cs="Times New Roman"/>
                <w:sz w:val="16"/>
                <w:szCs w:val="16"/>
                <w:highlight w:val="none"/>
              </w:rPr>
            </w:pPr>
            <w:r>
              <w:rPr>
                <w:rFonts w:hint="default" w:ascii="Times New Roman" w:hAnsi="Times New Roman" w:eastAsia="方正仿宋_GBK" w:cs="Times New Roman"/>
                <w:sz w:val="24"/>
                <w:szCs w:val="24"/>
                <w:highlight w:val="none"/>
              </w:rPr>
              <w:t>0</w:t>
            </w:r>
          </w:p>
        </w:tc>
        <w:tc>
          <w:tcPr>
            <w:tcW w:w="605" w:type="dxa"/>
            <w:tcBorders>
              <w:top w:val="nil"/>
              <w:left w:val="nil"/>
              <w:bottom w:val="single" w:color="auto" w:sz="8" w:space="0"/>
              <w:right w:val="single" w:color="auto" w:sz="8" w:space="0"/>
            </w:tcBorders>
            <w:tcMar>
              <w:top w:w="0" w:type="dxa"/>
              <w:left w:w="108" w:type="dxa"/>
              <w:bottom w:w="0" w:type="dxa"/>
              <w:right w:w="108" w:type="dxa"/>
            </w:tcMar>
            <w:vAlign w:val="center"/>
          </w:tcPr>
          <w:p w14:paraId="52028EB0">
            <w:pPr>
              <w:widowControl/>
              <w:jc w:val="center"/>
              <w:rPr>
                <w:rFonts w:hint="default" w:ascii="Times New Roman" w:hAnsi="Times New Roman" w:eastAsia="方正楷体_GBK" w:cs="Times New Roman"/>
                <w:sz w:val="16"/>
                <w:szCs w:val="16"/>
                <w:highlight w:val="none"/>
              </w:rPr>
            </w:pPr>
            <w:r>
              <w:rPr>
                <w:rFonts w:hint="default" w:ascii="Times New Roman" w:hAnsi="Times New Roman" w:eastAsia="方正仿宋_GBK" w:cs="Times New Roman"/>
                <w:sz w:val="24"/>
                <w:szCs w:val="24"/>
                <w:highlight w:val="none"/>
              </w:rPr>
              <w:t>0</w:t>
            </w:r>
          </w:p>
        </w:tc>
        <w:tc>
          <w:tcPr>
            <w:tcW w:w="606" w:type="dxa"/>
            <w:tcBorders>
              <w:top w:val="nil"/>
              <w:left w:val="nil"/>
              <w:bottom w:val="single" w:color="auto" w:sz="8" w:space="0"/>
              <w:right w:val="single" w:color="auto" w:sz="8" w:space="0"/>
            </w:tcBorders>
            <w:tcMar>
              <w:top w:w="0" w:type="dxa"/>
              <w:left w:w="108" w:type="dxa"/>
              <w:bottom w:w="0" w:type="dxa"/>
              <w:right w:w="108" w:type="dxa"/>
            </w:tcMar>
            <w:vAlign w:val="center"/>
          </w:tcPr>
          <w:p w14:paraId="3091B535">
            <w:pPr>
              <w:widowControl/>
              <w:jc w:val="center"/>
              <w:rPr>
                <w:rFonts w:hint="default" w:ascii="Times New Roman" w:hAnsi="Times New Roman" w:eastAsia="方正楷体_GBK" w:cs="Times New Roman"/>
                <w:sz w:val="16"/>
                <w:szCs w:val="16"/>
                <w:highlight w:val="none"/>
                <w:lang w:eastAsia="zh-CN"/>
              </w:rPr>
            </w:pPr>
            <w:r>
              <w:rPr>
                <w:rFonts w:hint="default" w:ascii="Times New Roman" w:hAnsi="Times New Roman" w:eastAsia="方正仿宋_GBK" w:cs="Times New Roman"/>
                <w:sz w:val="24"/>
                <w:szCs w:val="24"/>
                <w:highlight w:val="none"/>
                <w:lang w:val="en-US" w:eastAsia="zh-CN"/>
              </w:rPr>
              <w:t>0</w:t>
            </w:r>
          </w:p>
        </w:tc>
        <w:tc>
          <w:tcPr>
            <w:tcW w:w="997" w:type="dxa"/>
            <w:tcBorders>
              <w:top w:val="nil"/>
              <w:left w:val="nil"/>
              <w:bottom w:val="single" w:color="auto" w:sz="8" w:space="0"/>
              <w:right w:val="single" w:color="auto" w:sz="8" w:space="0"/>
            </w:tcBorders>
            <w:tcMar>
              <w:top w:w="0" w:type="dxa"/>
              <w:left w:w="108" w:type="dxa"/>
              <w:bottom w:w="0" w:type="dxa"/>
              <w:right w:w="108" w:type="dxa"/>
            </w:tcMar>
            <w:vAlign w:val="center"/>
          </w:tcPr>
          <w:p w14:paraId="1F23362A">
            <w:pPr>
              <w:widowControl/>
              <w:jc w:val="center"/>
              <w:rPr>
                <w:rFonts w:hint="default" w:ascii="Times New Roman" w:hAnsi="Times New Roman" w:eastAsia="方正楷体_GBK" w:cs="Times New Roman"/>
                <w:sz w:val="16"/>
                <w:szCs w:val="16"/>
                <w:highlight w:val="none"/>
                <w:lang w:eastAsia="zh-CN"/>
              </w:rPr>
            </w:pPr>
            <w:r>
              <w:rPr>
                <w:rFonts w:hint="default" w:ascii="Times New Roman" w:hAnsi="Times New Roman" w:eastAsia="方正仿宋_GBK" w:cs="Times New Roman"/>
                <w:sz w:val="24"/>
                <w:szCs w:val="24"/>
                <w:highlight w:val="none"/>
                <w:lang w:val="en-US" w:eastAsia="zh-CN"/>
              </w:rPr>
              <w:t>0</w:t>
            </w:r>
          </w:p>
        </w:tc>
      </w:tr>
    </w:tbl>
    <w:p w14:paraId="2068BD0E">
      <w:pPr>
        <w:pStyle w:val="9"/>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textAlignment w:val="auto"/>
        <w:rPr>
          <w:rFonts w:hint="default" w:ascii="Times New Roman" w:hAnsi="Times New Roman" w:eastAsia="方正黑体_GBK" w:cs="Times New Roman"/>
          <w:sz w:val="32"/>
          <w:szCs w:val="32"/>
          <w:highlight w:val="none"/>
        </w:rPr>
      </w:pPr>
      <w:r>
        <w:rPr>
          <w:rFonts w:hint="default" w:ascii="Times New Roman" w:hAnsi="Times New Roman" w:eastAsia="方正黑体_GBK" w:cs="Times New Roman"/>
          <w:sz w:val="32"/>
          <w:szCs w:val="32"/>
          <w:highlight w:val="none"/>
          <w:lang w:val="en-US" w:eastAsia="zh-CN"/>
        </w:rPr>
        <w:t>五、</w:t>
      </w:r>
      <w:r>
        <w:rPr>
          <w:rFonts w:hint="default" w:ascii="Times New Roman" w:hAnsi="Times New Roman" w:eastAsia="方正黑体_GBK" w:cs="Times New Roman"/>
          <w:sz w:val="32"/>
          <w:szCs w:val="32"/>
          <w:highlight w:val="none"/>
        </w:rPr>
        <w:t>存在的主要问题和改进措施</w:t>
      </w:r>
    </w:p>
    <w:p w14:paraId="29E1355D">
      <w:pPr>
        <w:keepNext w:val="0"/>
        <w:keepLines w:val="0"/>
        <w:pageBreakBefore w:val="0"/>
        <w:widowControl w:val="0"/>
        <w:kinsoku/>
        <w:wordWrap/>
        <w:overflowPunct w:val="0"/>
        <w:topLinePunct w:val="0"/>
        <w:autoSpaceDE w:val="0"/>
        <w:autoSpaceDN w:val="0"/>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202</w:t>
      </w:r>
      <w:r>
        <w:rPr>
          <w:rFonts w:hint="eastAsia" w:ascii="Times New Roman" w:hAnsi="Times New Roman" w:eastAsia="方正仿宋_GBK" w:cs="Times New Roman"/>
          <w:sz w:val="32"/>
          <w:szCs w:val="32"/>
          <w:highlight w:val="none"/>
          <w:lang w:val="en-US" w:eastAsia="zh-CN"/>
        </w:rPr>
        <w:t>5</w:t>
      </w:r>
      <w:r>
        <w:rPr>
          <w:rFonts w:hint="default" w:ascii="Times New Roman" w:hAnsi="Times New Roman" w:eastAsia="方正仿宋_GBK" w:cs="Times New Roman"/>
          <w:sz w:val="32"/>
          <w:szCs w:val="32"/>
          <w:highlight w:val="none"/>
          <w:lang w:val="en-US" w:eastAsia="zh-CN"/>
        </w:rPr>
        <w:t>年，</w:t>
      </w:r>
      <w:r>
        <w:rPr>
          <w:rFonts w:hint="eastAsia" w:ascii="Times New Roman" w:hAnsi="Times New Roman" w:eastAsia="方正仿宋_GBK" w:cs="Times New Roman"/>
          <w:sz w:val="32"/>
          <w:szCs w:val="32"/>
          <w:highlight w:val="none"/>
          <w:lang w:val="en-US" w:eastAsia="zh-CN"/>
        </w:rPr>
        <w:t>苏州</w:t>
      </w:r>
      <w:r>
        <w:rPr>
          <w:rFonts w:hint="default" w:ascii="Times New Roman" w:hAnsi="Times New Roman" w:eastAsia="方正仿宋_GBK" w:cs="Times New Roman"/>
          <w:sz w:val="32"/>
          <w:szCs w:val="32"/>
          <w:highlight w:val="none"/>
          <w:lang w:val="en-US" w:eastAsia="zh-CN"/>
        </w:rPr>
        <w:t>市公安局</w:t>
      </w:r>
      <w:r>
        <w:rPr>
          <w:rFonts w:hint="eastAsia" w:ascii="Times New Roman" w:hAnsi="Times New Roman" w:eastAsia="方正仿宋_GBK" w:cs="Times New Roman"/>
          <w:sz w:val="32"/>
          <w:szCs w:val="32"/>
          <w:highlight w:val="none"/>
          <w:lang w:val="en-US" w:eastAsia="zh-CN"/>
        </w:rPr>
        <w:t>在全面落实政府信息公开工作中取得了诸多成效，但仍存在政策解读力度还不够大、政务公开信息更新内容还不够全面、依申请公开办理规范性还不够强等方面的问题。</w:t>
      </w:r>
    </w:p>
    <w:p w14:paraId="776EEB23">
      <w:pPr>
        <w:pStyle w:val="9"/>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highlight w:val="none"/>
          <w:lang w:val="en-US" w:eastAsia="zh-CN"/>
        </w:rPr>
        <w:t>202</w:t>
      </w:r>
      <w:r>
        <w:rPr>
          <w:rFonts w:hint="eastAsia" w:ascii="Times New Roman" w:hAnsi="Times New Roman" w:eastAsia="方正仿宋_GBK" w:cs="Times New Roman"/>
          <w:sz w:val="32"/>
          <w:szCs w:val="32"/>
          <w:highlight w:val="none"/>
          <w:lang w:val="en-US" w:eastAsia="zh-CN"/>
        </w:rPr>
        <w:t>6</w:t>
      </w:r>
      <w:r>
        <w:rPr>
          <w:rFonts w:hint="default" w:ascii="Times New Roman" w:hAnsi="Times New Roman" w:eastAsia="方正仿宋_GBK" w:cs="Times New Roman"/>
          <w:sz w:val="32"/>
          <w:szCs w:val="32"/>
          <w:highlight w:val="none"/>
          <w:lang w:val="en-US" w:eastAsia="zh-CN"/>
        </w:rPr>
        <w:t>年，</w:t>
      </w:r>
      <w:r>
        <w:rPr>
          <w:rFonts w:hint="eastAsia" w:ascii="Times New Roman" w:hAnsi="Times New Roman" w:eastAsia="方正仿宋_GBK" w:cs="Times New Roman"/>
          <w:sz w:val="32"/>
          <w:szCs w:val="32"/>
          <w:highlight w:val="none"/>
          <w:lang w:val="en-US" w:eastAsia="zh-CN"/>
        </w:rPr>
        <w:t>苏州</w:t>
      </w:r>
      <w:r>
        <w:rPr>
          <w:rFonts w:hint="default" w:ascii="Times New Roman" w:hAnsi="Times New Roman" w:eastAsia="方正仿宋_GBK" w:cs="Times New Roman"/>
          <w:sz w:val="32"/>
          <w:szCs w:val="32"/>
          <w:highlight w:val="none"/>
          <w:lang w:val="en-US" w:eastAsia="zh-CN"/>
        </w:rPr>
        <w:t>市公安局将</w:t>
      </w:r>
      <w:r>
        <w:rPr>
          <w:rFonts w:hint="eastAsia" w:ascii="Times New Roman" w:hAnsi="Times New Roman" w:eastAsia="方正仿宋_GBK" w:cs="Times New Roman"/>
          <w:sz w:val="32"/>
          <w:szCs w:val="32"/>
          <w:highlight w:val="none"/>
          <w:lang w:val="en-US" w:eastAsia="zh-CN"/>
        </w:rPr>
        <w:t>围绕服务中心工作、人民群众期盼，全面推进决策公开、执行公开、管理公开、服务公开、结果公开。</w:t>
      </w:r>
      <w:r>
        <w:rPr>
          <w:rFonts w:hint="eastAsia" w:ascii="方正楷体_GBK" w:hAnsi="方正楷体_GBK" w:eastAsia="方正楷体_GBK" w:cs="方正楷体_GBK"/>
          <w:sz w:val="32"/>
          <w:szCs w:val="32"/>
          <w:highlight w:val="none"/>
          <w:lang w:val="en-US" w:eastAsia="zh-CN"/>
        </w:rPr>
        <w:t>一是</w:t>
      </w:r>
      <w:r>
        <w:rPr>
          <w:rFonts w:hint="eastAsia" w:ascii="Times New Roman" w:hAnsi="Times New Roman" w:eastAsia="方正仿宋_GBK" w:cs="Times New Roman"/>
          <w:sz w:val="32"/>
          <w:szCs w:val="32"/>
          <w:highlight w:val="none"/>
          <w:lang w:val="en-US" w:eastAsia="zh-CN"/>
        </w:rPr>
        <w:t>改进政策解读工作方式，加强政策咨询服务，依托政府网站、新闻发布会等，积极开展政策解读、解答群众咨询，全面提升解读工作质量；</w:t>
      </w:r>
      <w:r>
        <w:rPr>
          <w:rFonts w:hint="eastAsia" w:ascii="方正楷体_GBK" w:hAnsi="方正楷体_GBK" w:eastAsia="方正楷体_GBK" w:cs="方正楷体_GBK"/>
          <w:sz w:val="32"/>
          <w:szCs w:val="32"/>
          <w:highlight w:val="none"/>
          <w:lang w:val="en-US" w:eastAsia="zh-CN"/>
        </w:rPr>
        <w:t>二是</w:t>
      </w:r>
      <w:r>
        <w:rPr>
          <w:rFonts w:hint="eastAsia" w:ascii="Times New Roman" w:hAnsi="Times New Roman" w:eastAsia="方正仿宋_GBK" w:cs="Times New Roman"/>
          <w:sz w:val="32"/>
          <w:szCs w:val="32"/>
          <w:highlight w:val="none"/>
          <w:lang w:val="en-US" w:eastAsia="zh-CN"/>
        </w:rPr>
        <w:t>强化依申请公开会商机制，规范依申请公开工作流程，确保答复内容事实清楚，适用法律准确，人民群众满意，全面提升政府信息依申请公开工作水平；</w:t>
      </w:r>
      <w:r>
        <w:rPr>
          <w:rFonts w:hint="eastAsia" w:ascii="方正楷体_GBK" w:hAnsi="方正楷体_GBK" w:eastAsia="方正楷体_GBK" w:cs="方正楷体_GBK"/>
          <w:sz w:val="32"/>
          <w:szCs w:val="32"/>
          <w:highlight w:val="none"/>
          <w:lang w:val="en-US" w:eastAsia="zh-CN"/>
        </w:rPr>
        <w:t>三是</w:t>
      </w:r>
      <w:r>
        <w:rPr>
          <w:rFonts w:hint="eastAsia" w:ascii="Times New Roman" w:hAnsi="Times New Roman" w:eastAsia="方正仿宋_GBK" w:cs="Times New Roman"/>
          <w:sz w:val="32"/>
          <w:szCs w:val="32"/>
          <w:highlight w:val="none"/>
          <w:lang w:val="en-US" w:eastAsia="zh-CN"/>
        </w:rPr>
        <w:t>持续推进政务公开数字化转型，进一步规范和加强政府网站、政务新媒体建设，推动协同联动、融合发展，不断拓宽政企政民互动渠道，提升优化群众网上服务体验。</w:t>
      </w:r>
    </w:p>
    <w:p w14:paraId="4C97B6E1">
      <w:pPr>
        <w:pStyle w:val="9"/>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firstLine="640" w:firstLineChars="200"/>
        <w:textAlignment w:val="auto"/>
        <w:rPr>
          <w:rFonts w:hint="default" w:ascii="Times New Roman" w:hAnsi="Times New Roman" w:eastAsia="方正黑体_GBK" w:cs="Times New Roman"/>
          <w:sz w:val="32"/>
          <w:szCs w:val="32"/>
          <w:highlight w:val="none"/>
          <w:lang w:val="en-US" w:eastAsia="zh-CN"/>
        </w:rPr>
      </w:pPr>
      <w:r>
        <w:rPr>
          <w:rFonts w:hint="default" w:ascii="Times New Roman" w:hAnsi="Times New Roman" w:eastAsia="方正黑体_GBK" w:cs="Times New Roman"/>
          <w:sz w:val="32"/>
          <w:szCs w:val="32"/>
          <w:highlight w:val="none"/>
          <w:lang w:val="en-US" w:eastAsia="zh-CN"/>
        </w:rPr>
        <w:t>六、其他需要报告的事项</w:t>
      </w:r>
    </w:p>
    <w:p w14:paraId="4E79CEF1">
      <w:pPr>
        <w:pStyle w:val="9"/>
        <w:keepNext w:val="0"/>
        <w:keepLines w:val="0"/>
        <w:pageBreakBefore w:val="0"/>
        <w:widowControl w:val="0"/>
        <w:kinsoku/>
        <w:wordWrap/>
        <w:overflowPunct w:val="0"/>
        <w:topLinePunct w:val="0"/>
        <w:autoSpaceDE w:val="0"/>
        <w:autoSpaceDN w:val="0"/>
        <w:bidi w:val="0"/>
        <w:adjustRightInd/>
        <w:snapToGrid/>
        <w:spacing w:line="560" w:lineRule="exact"/>
        <w:ind w:firstLine="64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lang w:val="en-US" w:eastAsia="zh-CN"/>
        </w:rPr>
        <w:t>2025年，</w:t>
      </w:r>
      <w:r>
        <w:rPr>
          <w:rFonts w:hint="default" w:ascii="Times New Roman" w:hAnsi="Times New Roman" w:eastAsia="方正仿宋_GBK" w:cs="Times New Roman"/>
          <w:sz w:val="32"/>
          <w:szCs w:val="32"/>
          <w:highlight w:val="none"/>
        </w:rPr>
        <w:t>苏州市公安局认真落实《政府信息公开信息处理费管理办法》要求，在办理</w:t>
      </w:r>
      <w:r>
        <w:rPr>
          <w:rFonts w:hint="eastAsia" w:ascii="Times New Roman" w:hAnsi="Times New Roman" w:eastAsia="方正仿宋_GBK" w:cs="Times New Roman"/>
          <w:sz w:val="32"/>
          <w:szCs w:val="32"/>
          <w:highlight w:val="none"/>
          <w:lang w:val="en-US" w:eastAsia="zh-CN"/>
        </w:rPr>
        <w:t>政府</w:t>
      </w:r>
      <w:r>
        <w:rPr>
          <w:rFonts w:hint="default" w:ascii="Times New Roman" w:hAnsi="Times New Roman" w:eastAsia="方正仿宋_GBK" w:cs="Times New Roman"/>
          <w:sz w:val="32"/>
          <w:szCs w:val="32"/>
          <w:highlight w:val="none"/>
        </w:rPr>
        <w:t>信息公开申请中未收取</w:t>
      </w:r>
      <w:r>
        <w:rPr>
          <w:rFonts w:hint="eastAsia" w:ascii="Times New Roman" w:hAnsi="Times New Roman" w:eastAsia="方正仿宋_GBK" w:cs="Times New Roman"/>
          <w:sz w:val="32"/>
          <w:szCs w:val="32"/>
          <w:highlight w:val="none"/>
          <w:lang w:val="en-US" w:eastAsia="zh-CN"/>
        </w:rPr>
        <w:t>任何</w:t>
      </w:r>
      <w:r>
        <w:rPr>
          <w:rFonts w:hint="default" w:ascii="Times New Roman" w:hAnsi="Times New Roman" w:eastAsia="方正仿宋_GBK" w:cs="Times New Roman"/>
          <w:sz w:val="32"/>
          <w:szCs w:val="32"/>
          <w:highlight w:val="none"/>
        </w:rPr>
        <w:t>信息处理费</w:t>
      </w:r>
      <w:r>
        <w:rPr>
          <w:rFonts w:hint="eastAsia" w:ascii="Times New Roman" w:hAnsi="Times New Roman" w:eastAsia="方正仿宋_GBK" w:cs="Times New Roman"/>
          <w:sz w:val="32"/>
          <w:szCs w:val="32"/>
          <w:highlight w:val="none"/>
          <w:lang w:eastAsia="zh-CN"/>
        </w:rPr>
        <w:t>。</w:t>
      </w:r>
    </w:p>
    <w:p w14:paraId="62FED326">
      <w:pPr>
        <w:wordWrap/>
        <w:overflowPunct w:val="0"/>
        <w:autoSpaceDE w:val="0"/>
        <w:autoSpaceDN w:val="0"/>
        <w:spacing w:line="560" w:lineRule="exact"/>
        <w:ind w:firstLine="640" w:firstLineChars="200"/>
        <w:jc w:val="left"/>
        <w:rPr>
          <w:rFonts w:hint="default" w:ascii="Times New Roman" w:hAnsi="Times New Roman" w:eastAsia="方正仿宋_GBK" w:cs="Times New Roman"/>
          <w:sz w:val="32"/>
          <w:szCs w:val="32"/>
          <w:highlight w:val="none"/>
        </w:rPr>
      </w:pPr>
    </w:p>
    <w:p w14:paraId="44FCD544">
      <w:pPr>
        <w:wordWrap/>
        <w:overflowPunct w:val="0"/>
        <w:autoSpaceDE w:val="0"/>
        <w:autoSpaceDN w:val="0"/>
        <w:spacing w:line="560" w:lineRule="exact"/>
        <w:ind w:firstLine="640" w:firstLineChars="200"/>
        <w:jc w:val="left"/>
        <w:rPr>
          <w:rFonts w:hint="default" w:ascii="Times New Roman" w:hAnsi="Times New Roman" w:eastAsia="方正仿宋_GBK" w:cs="Times New Roman"/>
          <w:sz w:val="32"/>
          <w:szCs w:val="32"/>
          <w:highlight w:val="none"/>
        </w:rPr>
      </w:pPr>
    </w:p>
    <w:p w14:paraId="3A2F15FE">
      <w:pPr>
        <w:keepNext w:val="0"/>
        <w:keepLines w:val="0"/>
        <w:pageBreakBefore w:val="0"/>
        <w:widowControl w:val="0"/>
        <w:kinsoku/>
        <w:wordWrap w:val="0"/>
        <w:overflowPunct w:val="0"/>
        <w:topLinePunct w:val="0"/>
        <w:autoSpaceDE w:val="0"/>
        <w:autoSpaceDN w:val="0"/>
        <w:bidi w:val="0"/>
        <w:adjustRightInd/>
        <w:snapToGrid/>
        <w:spacing w:line="560" w:lineRule="exact"/>
        <w:ind w:firstLine="0" w:firstLineChars="0"/>
        <w:jc w:val="right"/>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苏州市公安局         </w:t>
      </w:r>
    </w:p>
    <w:p w14:paraId="3F8DE7F4">
      <w:pPr>
        <w:keepNext w:val="0"/>
        <w:keepLines w:val="0"/>
        <w:pageBreakBefore w:val="0"/>
        <w:widowControl w:val="0"/>
        <w:kinsoku/>
        <w:wordWrap w:val="0"/>
        <w:overflowPunct w:val="0"/>
        <w:topLinePunct w:val="0"/>
        <w:autoSpaceDE w:val="0"/>
        <w:autoSpaceDN w:val="0"/>
        <w:bidi w:val="0"/>
        <w:adjustRightInd/>
        <w:snapToGrid/>
        <w:spacing w:line="560" w:lineRule="exact"/>
        <w:ind w:firstLine="0" w:firstLineChars="0"/>
        <w:jc w:val="right"/>
        <w:textAlignment w:val="auto"/>
        <w:rPr>
          <w:rFonts w:hint="default" w:ascii="Times New Roman" w:hAnsi="Times New Roman" w:eastAsia="方正仿宋_GBK" w:cs="Times New Roman"/>
          <w:sz w:val="32"/>
          <w:szCs w:val="32"/>
          <w:highlight w:val="none"/>
          <w:lang w:val="en-US"/>
        </w:rPr>
      </w:pPr>
      <w:r>
        <w:rPr>
          <w:rFonts w:hint="eastAsia" w:ascii="Times New Roman" w:hAnsi="Times New Roman" w:eastAsia="方正仿宋_GBK" w:cs="Times New Roman"/>
          <w:sz w:val="32"/>
          <w:szCs w:val="32"/>
          <w:highlight w:val="none"/>
          <w:lang w:val="en-US" w:eastAsia="zh-CN"/>
        </w:rPr>
        <w:t>2026年1月26</w:t>
      </w:r>
      <w:bookmarkStart w:id="0" w:name="_GoBack"/>
      <w:bookmarkEnd w:id="0"/>
      <w:r>
        <w:rPr>
          <w:rFonts w:hint="eastAsia" w:ascii="Times New Roman" w:hAnsi="Times New Roman" w:eastAsia="方正仿宋_GBK" w:cs="Times New Roman"/>
          <w:sz w:val="32"/>
          <w:szCs w:val="32"/>
          <w:highlight w:val="none"/>
          <w:lang w:val="en-US" w:eastAsia="zh-CN"/>
        </w:rPr>
        <w:t xml:space="preserve">日        </w:t>
      </w:r>
    </w:p>
    <w:sectPr>
      <w:footerReference r:id="rId3" w:type="default"/>
      <w:pgSz w:w="11906" w:h="16838"/>
      <w:pgMar w:top="2098" w:right="1531" w:bottom="1984" w:left="1531"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8901234"/>
      <w:docPartObj>
        <w:docPartGallery w:val="autotext"/>
      </w:docPartObj>
    </w:sdtPr>
    <w:sdtEndPr>
      <w:rPr>
        <w:rFonts w:ascii="仿宋" w:hAnsi="仿宋" w:eastAsia="仿宋"/>
        <w:sz w:val="28"/>
        <w:szCs w:val="28"/>
      </w:rPr>
    </w:sdtEndPr>
    <w:sdtContent>
      <w:p w14:paraId="0CD8029C">
        <w:pPr>
          <w:pStyle w:val="3"/>
          <w:jc w:val="center"/>
          <w:rPr>
            <w:rFonts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6 -</w:t>
        </w:r>
        <w:r>
          <w:rPr>
            <w:rFonts w:ascii="仿宋" w:hAnsi="仿宋" w:eastAsia="仿宋"/>
            <w:sz w:val="28"/>
            <w:szCs w:val="28"/>
          </w:rPr>
          <w:fldChar w:fldCharType="end"/>
        </w:r>
      </w:p>
    </w:sdtContent>
  </w:sdt>
  <w:p w14:paraId="33F641DC">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4D5A40"/>
    <w:multiLevelType w:val="multilevel"/>
    <w:tmpl w:val="454D5A40"/>
    <w:lvl w:ilvl="0" w:tentative="0">
      <w:start w:val="1"/>
      <w:numFmt w:val="japaneseCounting"/>
      <w:lvlText w:val="%1、"/>
      <w:lvlJc w:val="left"/>
      <w:pPr>
        <w:ind w:left="1360" w:hanging="720"/>
      </w:pPr>
      <w:rPr>
        <w:rFonts w:hint="default"/>
        <w:b/>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D4"/>
    <w:rsid w:val="00007696"/>
    <w:rsid w:val="00021793"/>
    <w:rsid w:val="00023E9B"/>
    <w:rsid w:val="0003572A"/>
    <w:rsid w:val="0003634E"/>
    <w:rsid w:val="0005317B"/>
    <w:rsid w:val="00056394"/>
    <w:rsid w:val="000664FB"/>
    <w:rsid w:val="00081C32"/>
    <w:rsid w:val="00083446"/>
    <w:rsid w:val="0008676C"/>
    <w:rsid w:val="00087A44"/>
    <w:rsid w:val="000A1646"/>
    <w:rsid w:val="000B086D"/>
    <w:rsid w:val="000B704F"/>
    <w:rsid w:val="000D32CB"/>
    <w:rsid w:val="000F70DB"/>
    <w:rsid w:val="0010405E"/>
    <w:rsid w:val="001104D5"/>
    <w:rsid w:val="001229B8"/>
    <w:rsid w:val="00146A45"/>
    <w:rsid w:val="00146DF8"/>
    <w:rsid w:val="00190662"/>
    <w:rsid w:val="00196356"/>
    <w:rsid w:val="00197BDE"/>
    <w:rsid w:val="001A1489"/>
    <w:rsid w:val="001A20F1"/>
    <w:rsid w:val="001C3D46"/>
    <w:rsid w:val="001D0AD8"/>
    <w:rsid w:val="001E1E89"/>
    <w:rsid w:val="001F73A9"/>
    <w:rsid w:val="00201CFB"/>
    <w:rsid w:val="0021674D"/>
    <w:rsid w:val="00225D4E"/>
    <w:rsid w:val="00235EFF"/>
    <w:rsid w:val="00237153"/>
    <w:rsid w:val="00243C1C"/>
    <w:rsid w:val="00244662"/>
    <w:rsid w:val="00252098"/>
    <w:rsid w:val="002543DD"/>
    <w:rsid w:val="00257F52"/>
    <w:rsid w:val="00264816"/>
    <w:rsid w:val="002728DE"/>
    <w:rsid w:val="002773F4"/>
    <w:rsid w:val="002776BE"/>
    <w:rsid w:val="00283E4E"/>
    <w:rsid w:val="00285620"/>
    <w:rsid w:val="00296D45"/>
    <w:rsid w:val="002B0EB0"/>
    <w:rsid w:val="002C0DF6"/>
    <w:rsid w:val="002C2B58"/>
    <w:rsid w:val="002C3079"/>
    <w:rsid w:val="002E3478"/>
    <w:rsid w:val="002E458A"/>
    <w:rsid w:val="002F2BED"/>
    <w:rsid w:val="00300B05"/>
    <w:rsid w:val="00305ABA"/>
    <w:rsid w:val="00325410"/>
    <w:rsid w:val="00332F42"/>
    <w:rsid w:val="00332FBE"/>
    <w:rsid w:val="003353F3"/>
    <w:rsid w:val="00336398"/>
    <w:rsid w:val="003404D0"/>
    <w:rsid w:val="00355BB2"/>
    <w:rsid w:val="003637E7"/>
    <w:rsid w:val="003647EF"/>
    <w:rsid w:val="0038211A"/>
    <w:rsid w:val="00382966"/>
    <w:rsid w:val="00384C4B"/>
    <w:rsid w:val="003B0CB2"/>
    <w:rsid w:val="003B3AB4"/>
    <w:rsid w:val="003C73B0"/>
    <w:rsid w:val="003D03F8"/>
    <w:rsid w:val="003E0D09"/>
    <w:rsid w:val="003E43D6"/>
    <w:rsid w:val="003F7BBD"/>
    <w:rsid w:val="004075A3"/>
    <w:rsid w:val="00411103"/>
    <w:rsid w:val="004149B6"/>
    <w:rsid w:val="004177ED"/>
    <w:rsid w:val="0042095B"/>
    <w:rsid w:val="00422A51"/>
    <w:rsid w:val="00426B05"/>
    <w:rsid w:val="00432507"/>
    <w:rsid w:val="004364E2"/>
    <w:rsid w:val="0044668D"/>
    <w:rsid w:val="00451440"/>
    <w:rsid w:val="004532EC"/>
    <w:rsid w:val="004550C6"/>
    <w:rsid w:val="00464355"/>
    <w:rsid w:val="00490FA2"/>
    <w:rsid w:val="004A6288"/>
    <w:rsid w:val="004A6DCD"/>
    <w:rsid w:val="004B056A"/>
    <w:rsid w:val="004B0FEB"/>
    <w:rsid w:val="004B1152"/>
    <w:rsid w:val="004B1BE0"/>
    <w:rsid w:val="004B442F"/>
    <w:rsid w:val="004B45B2"/>
    <w:rsid w:val="004B51D8"/>
    <w:rsid w:val="004B541A"/>
    <w:rsid w:val="004B6937"/>
    <w:rsid w:val="004C0244"/>
    <w:rsid w:val="004C7075"/>
    <w:rsid w:val="004D19DE"/>
    <w:rsid w:val="004D4BE7"/>
    <w:rsid w:val="004D5B21"/>
    <w:rsid w:val="004D63EB"/>
    <w:rsid w:val="004D656B"/>
    <w:rsid w:val="004E0281"/>
    <w:rsid w:val="004E13A6"/>
    <w:rsid w:val="004F158F"/>
    <w:rsid w:val="004F1984"/>
    <w:rsid w:val="005046FF"/>
    <w:rsid w:val="0050615A"/>
    <w:rsid w:val="0051293A"/>
    <w:rsid w:val="00524723"/>
    <w:rsid w:val="0052502F"/>
    <w:rsid w:val="005279DA"/>
    <w:rsid w:val="005407DA"/>
    <w:rsid w:val="00544820"/>
    <w:rsid w:val="005450BF"/>
    <w:rsid w:val="00545835"/>
    <w:rsid w:val="005806CA"/>
    <w:rsid w:val="00580716"/>
    <w:rsid w:val="00584817"/>
    <w:rsid w:val="005901F5"/>
    <w:rsid w:val="00597AED"/>
    <w:rsid w:val="005B5C55"/>
    <w:rsid w:val="005D4E9B"/>
    <w:rsid w:val="005E0A16"/>
    <w:rsid w:val="005E3186"/>
    <w:rsid w:val="005E526B"/>
    <w:rsid w:val="005E71FC"/>
    <w:rsid w:val="005F6918"/>
    <w:rsid w:val="0060277B"/>
    <w:rsid w:val="006041C7"/>
    <w:rsid w:val="0060601D"/>
    <w:rsid w:val="00606233"/>
    <w:rsid w:val="00616245"/>
    <w:rsid w:val="00620E7B"/>
    <w:rsid w:val="00633C8E"/>
    <w:rsid w:val="00634371"/>
    <w:rsid w:val="00662AAD"/>
    <w:rsid w:val="0066470B"/>
    <w:rsid w:val="00674FCB"/>
    <w:rsid w:val="00675688"/>
    <w:rsid w:val="00691F92"/>
    <w:rsid w:val="00692A24"/>
    <w:rsid w:val="00693A57"/>
    <w:rsid w:val="006B3D6D"/>
    <w:rsid w:val="006C0093"/>
    <w:rsid w:val="006C0B34"/>
    <w:rsid w:val="006C1270"/>
    <w:rsid w:val="006C1BAA"/>
    <w:rsid w:val="006C2165"/>
    <w:rsid w:val="006D0092"/>
    <w:rsid w:val="006D06C9"/>
    <w:rsid w:val="006D06E9"/>
    <w:rsid w:val="006F155C"/>
    <w:rsid w:val="00711F56"/>
    <w:rsid w:val="0071378D"/>
    <w:rsid w:val="007211FF"/>
    <w:rsid w:val="00724755"/>
    <w:rsid w:val="00725CA7"/>
    <w:rsid w:val="00732B16"/>
    <w:rsid w:val="00735146"/>
    <w:rsid w:val="007536E4"/>
    <w:rsid w:val="007557CC"/>
    <w:rsid w:val="00771E66"/>
    <w:rsid w:val="00772E37"/>
    <w:rsid w:val="00774601"/>
    <w:rsid w:val="00777B02"/>
    <w:rsid w:val="0078224A"/>
    <w:rsid w:val="007833D7"/>
    <w:rsid w:val="007851E8"/>
    <w:rsid w:val="00796D2E"/>
    <w:rsid w:val="00797DFF"/>
    <w:rsid w:val="007D7725"/>
    <w:rsid w:val="007E025B"/>
    <w:rsid w:val="007E2839"/>
    <w:rsid w:val="007E2F58"/>
    <w:rsid w:val="007E5099"/>
    <w:rsid w:val="007F27FA"/>
    <w:rsid w:val="007F3875"/>
    <w:rsid w:val="00805C9A"/>
    <w:rsid w:val="008070B9"/>
    <w:rsid w:val="008237A6"/>
    <w:rsid w:val="00823FA4"/>
    <w:rsid w:val="00830B88"/>
    <w:rsid w:val="00835934"/>
    <w:rsid w:val="00840BBC"/>
    <w:rsid w:val="00841C76"/>
    <w:rsid w:val="00852A94"/>
    <w:rsid w:val="008610D4"/>
    <w:rsid w:val="00862B19"/>
    <w:rsid w:val="00864DC5"/>
    <w:rsid w:val="00866382"/>
    <w:rsid w:val="00867A05"/>
    <w:rsid w:val="00871FDC"/>
    <w:rsid w:val="00886AB2"/>
    <w:rsid w:val="0089459A"/>
    <w:rsid w:val="008C2076"/>
    <w:rsid w:val="008C432D"/>
    <w:rsid w:val="008E07B7"/>
    <w:rsid w:val="008E6D5B"/>
    <w:rsid w:val="008E7A61"/>
    <w:rsid w:val="008F128C"/>
    <w:rsid w:val="008F22BE"/>
    <w:rsid w:val="008F6B32"/>
    <w:rsid w:val="00905A84"/>
    <w:rsid w:val="00906B19"/>
    <w:rsid w:val="00907EBB"/>
    <w:rsid w:val="00912271"/>
    <w:rsid w:val="00921D15"/>
    <w:rsid w:val="0092527A"/>
    <w:rsid w:val="00935236"/>
    <w:rsid w:val="00940ECD"/>
    <w:rsid w:val="009575E8"/>
    <w:rsid w:val="00965D29"/>
    <w:rsid w:val="0097631C"/>
    <w:rsid w:val="009918FD"/>
    <w:rsid w:val="0099395E"/>
    <w:rsid w:val="00995560"/>
    <w:rsid w:val="009B2369"/>
    <w:rsid w:val="009C2006"/>
    <w:rsid w:val="009C2D75"/>
    <w:rsid w:val="009C3DF5"/>
    <w:rsid w:val="009E4BFB"/>
    <w:rsid w:val="009E60D3"/>
    <w:rsid w:val="009E79A1"/>
    <w:rsid w:val="009F160F"/>
    <w:rsid w:val="009F2CD1"/>
    <w:rsid w:val="009F512E"/>
    <w:rsid w:val="009F65CB"/>
    <w:rsid w:val="00A00BA0"/>
    <w:rsid w:val="00A01064"/>
    <w:rsid w:val="00A02FE9"/>
    <w:rsid w:val="00A04E79"/>
    <w:rsid w:val="00A0625E"/>
    <w:rsid w:val="00A10534"/>
    <w:rsid w:val="00A149DC"/>
    <w:rsid w:val="00A17BDC"/>
    <w:rsid w:val="00A2058E"/>
    <w:rsid w:val="00A2062A"/>
    <w:rsid w:val="00A247ED"/>
    <w:rsid w:val="00A31FE9"/>
    <w:rsid w:val="00A32B12"/>
    <w:rsid w:val="00A5772A"/>
    <w:rsid w:val="00A605D2"/>
    <w:rsid w:val="00A6172D"/>
    <w:rsid w:val="00A6640A"/>
    <w:rsid w:val="00A678B1"/>
    <w:rsid w:val="00A71078"/>
    <w:rsid w:val="00A7601E"/>
    <w:rsid w:val="00A82523"/>
    <w:rsid w:val="00A846C1"/>
    <w:rsid w:val="00A85794"/>
    <w:rsid w:val="00A872A7"/>
    <w:rsid w:val="00A90E91"/>
    <w:rsid w:val="00AA12FB"/>
    <w:rsid w:val="00AA3CE6"/>
    <w:rsid w:val="00AB6560"/>
    <w:rsid w:val="00AB6BDF"/>
    <w:rsid w:val="00AB7348"/>
    <w:rsid w:val="00AC236E"/>
    <w:rsid w:val="00AC5A28"/>
    <w:rsid w:val="00AC76D3"/>
    <w:rsid w:val="00AD1DAB"/>
    <w:rsid w:val="00AD749A"/>
    <w:rsid w:val="00B0672C"/>
    <w:rsid w:val="00B120AE"/>
    <w:rsid w:val="00B2186E"/>
    <w:rsid w:val="00B31780"/>
    <w:rsid w:val="00B43FFD"/>
    <w:rsid w:val="00B65B58"/>
    <w:rsid w:val="00B77E20"/>
    <w:rsid w:val="00B84DEB"/>
    <w:rsid w:val="00B9610D"/>
    <w:rsid w:val="00BA50EA"/>
    <w:rsid w:val="00BB3E71"/>
    <w:rsid w:val="00BB4093"/>
    <w:rsid w:val="00BC40B6"/>
    <w:rsid w:val="00BD4191"/>
    <w:rsid w:val="00BD441E"/>
    <w:rsid w:val="00BE2FA7"/>
    <w:rsid w:val="00BE2FF4"/>
    <w:rsid w:val="00BE4EBB"/>
    <w:rsid w:val="00BF1F5C"/>
    <w:rsid w:val="00BF2121"/>
    <w:rsid w:val="00BF6EAD"/>
    <w:rsid w:val="00C0591A"/>
    <w:rsid w:val="00C06F8B"/>
    <w:rsid w:val="00C075D3"/>
    <w:rsid w:val="00C07E90"/>
    <w:rsid w:val="00C15271"/>
    <w:rsid w:val="00C210A5"/>
    <w:rsid w:val="00C50726"/>
    <w:rsid w:val="00C57ABE"/>
    <w:rsid w:val="00C657DC"/>
    <w:rsid w:val="00C734A5"/>
    <w:rsid w:val="00C97423"/>
    <w:rsid w:val="00CB4ABC"/>
    <w:rsid w:val="00CB4CD5"/>
    <w:rsid w:val="00CC0383"/>
    <w:rsid w:val="00CC48BC"/>
    <w:rsid w:val="00CC55A1"/>
    <w:rsid w:val="00CD1955"/>
    <w:rsid w:val="00CD1D6E"/>
    <w:rsid w:val="00CE558C"/>
    <w:rsid w:val="00CE5BD5"/>
    <w:rsid w:val="00CF14FD"/>
    <w:rsid w:val="00D241F4"/>
    <w:rsid w:val="00D35BF8"/>
    <w:rsid w:val="00D42073"/>
    <w:rsid w:val="00D55184"/>
    <w:rsid w:val="00D56C9B"/>
    <w:rsid w:val="00D62329"/>
    <w:rsid w:val="00D7594F"/>
    <w:rsid w:val="00D76BF5"/>
    <w:rsid w:val="00D82064"/>
    <w:rsid w:val="00D94385"/>
    <w:rsid w:val="00DA512F"/>
    <w:rsid w:val="00DB06F0"/>
    <w:rsid w:val="00DB2390"/>
    <w:rsid w:val="00DB3C22"/>
    <w:rsid w:val="00DC06DD"/>
    <w:rsid w:val="00DC1D2D"/>
    <w:rsid w:val="00DD5156"/>
    <w:rsid w:val="00DF096F"/>
    <w:rsid w:val="00DF3AA2"/>
    <w:rsid w:val="00DF71BD"/>
    <w:rsid w:val="00E05DC1"/>
    <w:rsid w:val="00E13267"/>
    <w:rsid w:val="00E20D57"/>
    <w:rsid w:val="00E43340"/>
    <w:rsid w:val="00E47A8B"/>
    <w:rsid w:val="00E51376"/>
    <w:rsid w:val="00E82901"/>
    <w:rsid w:val="00E83F9C"/>
    <w:rsid w:val="00E84C89"/>
    <w:rsid w:val="00E87188"/>
    <w:rsid w:val="00EA11F9"/>
    <w:rsid w:val="00EC72CC"/>
    <w:rsid w:val="00ED24A2"/>
    <w:rsid w:val="00ED304F"/>
    <w:rsid w:val="00ED7896"/>
    <w:rsid w:val="00EE154F"/>
    <w:rsid w:val="00EE2A94"/>
    <w:rsid w:val="00EF146E"/>
    <w:rsid w:val="00EF413D"/>
    <w:rsid w:val="00EF5860"/>
    <w:rsid w:val="00F00CAD"/>
    <w:rsid w:val="00F200DD"/>
    <w:rsid w:val="00F37639"/>
    <w:rsid w:val="00F46CCB"/>
    <w:rsid w:val="00F641DB"/>
    <w:rsid w:val="00F73297"/>
    <w:rsid w:val="00F771E2"/>
    <w:rsid w:val="00F908D5"/>
    <w:rsid w:val="00F91345"/>
    <w:rsid w:val="00F95DB8"/>
    <w:rsid w:val="00FA0941"/>
    <w:rsid w:val="00FA177B"/>
    <w:rsid w:val="00FC10B7"/>
    <w:rsid w:val="00FC35E5"/>
    <w:rsid w:val="00FD098F"/>
    <w:rsid w:val="00FD0EFC"/>
    <w:rsid w:val="00FD20E2"/>
    <w:rsid w:val="00FE41DE"/>
    <w:rsid w:val="00FE4CC6"/>
    <w:rsid w:val="00FE6016"/>
    <w:rsid w:val="00FF0778"/>
    <w:rsid w:val="00FF54DE"/>
    <w:rsid w:val="00FF5E0A"/>
    <w:rsid w:val="0100515C"/>
    <w:rsid w:val="021C7832"/>
    <w:rsid w:val="0291781C"/>
    <w:rsid w:val="03EA36EF"/>
    <w:rsid w:val="04BF37CA"/>
    <w:rsid w:val="04C30A48"/>
    <w:rsid w:val="04EF7689"/>
    <w:rsid w:val="05601D79"/>
    <w:rsid w:val="056D617B"/>
    <w:rsid w:val="06A70D05"/>
    <w:rsid w:val="06CA614A"/>
    <w:rsid w:val="079600FE"/>
    <w:rsid w:val="07FD6BA9"/>
    <w:rsid w:val="087E750D"/>
    <w:rsid w:val="087F4DD0"/>
    <w:rsid w:val="08AD6D61"/>
    <w:rsid w:val="08DB78D7"/>
    <w:rsid w:val="09492467"/>
    <w:rsid w:val="09C5113C"/>
    <w:rsid w:val="0AD5126C"/>
    <w:rsid w:val="0AD56380"/>
    <w:rsid w:val="0B664A99"/>
    <w:rsid w:val="0B9A326B"/>
    <w:rsid w:val="0BCB0EC5"/>
    <w:rsid w:val="0BDA3681"/>
    <w:rsid w:val="0CAF396F"/>
    <w:rsid w:val="0CBC6398"/>
    <w:rsid w:val="0CEB269B"/>
    <w:rsid w:val="0D275AE1"/>
    <w:rsid w:val="0D652BDB"/>
    <w:rsid w:val="0DD23D88"/>
    <w:rsid w:val="0DFA16E3"/>
    <w:rsid w:val="0E6723A9"/>
    <w:rsid w:val="0EFC5B46"/>
    <w:rsid w:val="0F0546EE"/>
    <w:rsid w:val="0F2B7270"/>
    <w:rsid w:val="10300935"/>
    <w:rsid w:val="1052613F"/>
    <w:rsid w:val="10962901"/>
    <w:rsid w:val="10F16CFE"/>
    <w:rsid w:val="117C7541"/>
    <w:rsid w:val="11D23CCC"/>
    <w:rsid w:val="1250234B"/>
    <w:rsid w:val="129C6C18"/>
    <w:rsid w:val="12A55C62"/>
    <w:rsid w:val="12D3442A"/>
    <w:rsid w:val="13892BF6"/>
    <w:rsid w:val="13B20573"/>
    <w:rsid w:val="140571DA"/>
    <w:rsid w:val="140E39D4"/>
    <w:rsid w:val="141476FE"/>
    <w:rsid w:val="14F55AF2"/>
    <w:rsid w:val="15067F8B"/>
    <w:rsid w:val="152802FE"/>
    <w:rsid w:val="155F6004"/>
    <w:rsid w:val="15F21B50"/>
    <w:rsid w:val="161D5555"/>
    <w:rsid w:val="166D7049"/>
    <w:rsid w:val="16AE4012"/>
    <w:rsid w:val="17045852"/>
    <w:rsid w:val="173A04C7"/>
    <w:rsid w:val="17437A67"/>
    <w:rsid w:val="17FA7A38"/>
    <w:rsid w:val="18052E77"/>
    <w:rsid w:val="187C1F6A"/>
    <w:rsid w:val="18D745A9"/>
    <w:rsid w:val="19316D60"/>
    <w:rsid w:val="1950524B"/>
    <w:rsid w:val="195A5014"/>
    <w:rsid w:val="19AD57B1"/>
    <w:rsid w:val="1A920DC2"/>
    <w:rsid w:val="1AA160F1"/>
    <w:rsid w:val="1AA4530C"/>
    <w:rsid w:val="1AC070EB"/>
    <w:rsid w:val="1AE062AC"/>
    <w:rsid w:val="1B45146D"/>
    <w:rsid w:val="1B8C7242"/>
    <w:rsid w:val="1BC31253"/>
    <w:rsid w:val="1BC4291D"/>
    <w:rsid w:val="1C223F62"/>
    <w:rsid w:val="1C4A7C9C"/>
    <w:rsid w:val="1C84758A"/>
    <w:rsid w:val="1C8949E8"/>
    <w:rsid w:val="1CB24FE8"/>
    <w:rsid w:val="1CDE306A"/>
    <w:rsid w:val="1DF47902"/>
    <w:rsid w:val="1E5209CD"/>
    <w:rsid w:val="1E61554A"/>
    <w:rsid w:val="1E62727A"/>
    <w:rsid w:val="1E70742E"/>
    <w:rsid w:val="1E7B7FD4"/>
    <w:rsid w:val="1EB50C1B"/>
    <w:rsid w:val="1ECF4EBF"/>
    <w:rsid w:val="1EE10E55"/>
    <w:rsid w:val="1EE23D28"/>
    <w:rsid w:val="1EFF1CAF"/>
    <w:rsid w:val="1F1D5533"/>
    <w:rsid w:val="1FB16A05"/>
    <w:rsid w:val="204F0984"/>
    <w:rsid w:val="213D6E16"/>
    <w:rsid w:val="21997A9F"/>
    <w:rsid w:val="21A068E1"/>
    <w:rsid w:val="21D8100F"/>
    <w:rsid w:val="2248493E"/>
    <w:rsid w:val="225D726E"/>
    <w:rsid w:val="22727213"/>
    <w:rsid w:val="228320A3"/>
    <w:rsid w:val="22CA7281"/>
    <w:rsid w:val="22DB5672"/>
    <w:rsid w:val="22F53374"/>
    <w:rsid w:val="23746A36"/>
    <w:rsid w:val="23A61665"/>
    <w:rsid w:val="242F03BC"/>
    <w:rsid w:val="246133BB"/>
    <w:rsid w:val="25102504"/>
    <w:rsid w:val="25B24226"/>
    <w:rsid w:val="25DD39AD"/>
    <w:rsid w:val="25E54166"/>
    <w:rsid w:val="26391FDA"/>
    <w:rsid w:val="268663C4"/>
    <w:rsid w:val="26A15381"/>
    <w:rsid w:val="26FC04B4"/>
    <w:rsid w:val="27BC211C"/>
    <w:rsid w:val="285B26AB"/>
    <w:rsid w:val="28C179C6"/>
    <w:rsid w:val="2962188A"/>
    <w:rsid w:val="297F3B23"/>
    <w:rsid w:val="29853D42"/>
    <w:rsid w:val="299C1F99"/>
    <w:rsid w:val="2A697EC4"/>
    <w:rsid w:val="2A9D64F9"/>
    <w:rsid w:val="2AD3452A"/>
    <w:rsid w:val="2B5946AE"/>
    <w:rsid w:val="2C443D8A"/>
    <w:rsid w:val="2CE904CA"/>
    <w:rsid w:val="2D96069F"/>
    <w:rsid w:val="2DD018F8"/>
    <w:rsid w:val="2E9C530C"/>
    <w:rsid w:val="2F4D3588"/>
    <w:rsid w:val="2FB16327"/>
    <w:rsid w:val="2FBB555C"/>
    <w:rsid w:val="2FEA74D2"/>
    <w:rsid w:val="30065667"/>
    <w:rsid w:val="30133FEC"/>
    <w:rsid w:val="30BD6A03"/>
    <w:rsid w:val="31F317B7"/>
    <w:rsid w:val="32396CD4"/>
    <w:rsid w:val="32A6433A"/>
    <w:rsid w:val="32BB6E72"/>
    <w:rsid w:val="32D91E55"/>
    <w:rsid w:val="333E4F5E"/>
    <w:rsid w:val="337812A2"/>
    <w:rsid w:val="338744EF"/>
    <w:rsid w:val="33C30C3C"/>
    <w:rsid w:val="359513E7"/>
    <w:rsid w:val="35B054A3"/>
    <w:rsid w:val="35F505F5"/>
    <w:rsid w:val="36181A76"/>
    <w:rsid w:val="363F746A"/>
    <w:rsid w:val="36732E42"/>
    <w:rsid w:val="36ED04AD"/>
    <w:rsid w:val="36EF161B"/>
    <w:rsid w:val="36FE1222"/>
    <w:rsid w:val="373A4D29"/>
    <w:rsid w:val="374C3CC1"/>
    <w:rsid w:val="38710629"/>
    <w:rsid w:val="390F39AA"/>
    <w:rsid w:val="39377B82"/>
    <w:rsid w:val="39542E1A"/>
    <w:rsid w:val="395E4930"/>
    <w:rsid w:val="3998179C"/>
    <w:rsid w:val="39F83928"/>
    <w:rsid w:val="3A583647"/>
    <w:rsid w:val="3A690764"/>
    <w:rsid w:val="3AC23D0C"/>
    <w:rsid w:val="3B464CEA"/>
    <w:rsid w:val="3BCC3DCB"/>
    <w:rsid w:val="3DA962B7"/>
    <w:rsid w:val="3F1A07D4"/>
    <w:rsid w:val="3F200AD2"/>
    <w:rsid w:val="3FAA1280"/>
    <w:rsid w:val="3FD72041"/>
    <w:rsid w:val="3FE160FF"/>
    <w:rsid w:val="400336DA"/>
    <w:rsid w:val="40682380"/>
    <w:rsid w:val="408D02D1"/>
    <w:rsid w:val="40E26DD4"/>
    <w:rsid w:val="412858E2"/>
    <w:rsid w:val="41CE0F85"/>
    <w:rsid w:val="435B785C"/>
    <w:rsid w:val="4360239F"/>
    <w:rsid w:val="43937B6D"/>
    <w:rsid w:val="43B465EE"/>
    <w:rsid w:val="444639CF"/>
    <w:rsid w:val="44EC7F9B"/>
    <w:rsid w:val="44F97F78"/>
    <w:rsid w:val="452E4BF2"/>
    <w:rsid w:val="4541225E"/>
    <w:rsid w:val="454D2827"/>
    <w:rsid w:val="459D4819"/>
    <w:rsid w:val="45E43E20"/>
    <w:rsid w:val="460F7997"/>
    <w:rsid w:val="46181376"/>
    <w:rsid w:val="4627715B"/>
    <w:rsid w:val="4655725E"/>
    <w:rsid w:val="46E0649E"/>
    <w:rsid w:val="472055BF"/>
    <w:rsid w:val="47537AA1"/>
    <w:rsid w:val="47D32E64"/>
    <w:rsid w:val="49080E8E"/>
    <w:rsid w:val="491B0267"/>
    <w:rsid w:val="49B83174"/>
    <w:rsid w:val="49BC78E4"/>
    <w:rsid w:val="49E30645"/>
    <w:rsid w:val="49E35C8C"/>
    <w:rsid w:val="49E4089C"/>
    <w:rsid w:val="4A19493F"/>
    <w:rsid w:val="4A7C218F"/>
    <w:rsid w:val="4A9C1729"/>
    <w:rsid w:val="4A9D0D79"/>
    <w:rsid w:val="4B8D7C63"/>
    <w:rsid w:val="4BAA5A33"/>
    <w:rsid w:val="4C48218C"/>
    <w:rsid w:val="4C7C55F6"/>
    <w:rsid w:val="4C821E76"/>
    <w:rsid w:val="4CDC3685"/>
    <w:rsid w:val="4D69783C"/>
    <w:rsid w:val="4E03300A"/>
    <w:rsid w:val="4E2E5FD8"/>
    <w:rsid w:val="4E8850BA"/>
    <w:rsid w:val="4EAD1811"/>
    <w:rsid w:val="4F154781"/>
    <w:rsid w:val="4F372569"/>
    <w:rsid w:val="4F6043E8"/>
    <w:rsid w:val="4FDC4CC8"/>
    <w:rsid w:val="50234FEF"/>
    <w:rsid w:val="51E67096"/>
    <w:rsid w:val="52192D06"/>
    <w:rsid w:val="5228427C"/>
    <w:rsid w:val="525B5B6A"/>
    <w:rsid w:val="52B946C4"/>
    <w:rsid w:val="53057F5D"/>
    <w:rsid w:val="53151B58"/>
    <w:rsid w:val="532A6DFE"/>
    <w:rsid w:val="5382528E"/>
    <w:rsid w:val="53B62265"/>
    <w:rsid w:val="53F905C6"/>
    <w:rsid w:val="53FA3C53"/>
    <w:rsid w:val="54006CF7"/>
    <w:rsid w:val="542C1158"/>
    <w:rsid w:val="54420F7A"/>
    <w:rsid w:val="5446568C"/>
    <w:rsid w:val="5475359D"/>
    <w:rsid w:val="5489748A"/>
    <w:rsid w:val="549E2C9A"/>
    <w:rsid w:val="54B03623"/>
    <w:rsid w:val="54B204D5"/>
    <w:rsid w:val="54E80059"/>
    <w:rsid w:val="54F53C97"/>
    <w:rsid w:val="55CE6CAA"/>
    <w:rsid w:val="562C4463"/>
    <w:rsid w:val="563E640C"/>
    <w:rsid w:val="57152BEC"/>
    <w:rsid w:val="57163CF5"/>
    <w:rsid w:val="572B1038"/>
    <w:rsid w:val="57416F33"/>
    <w:rsid w:val="57AA1737"/>
    <w:rsid w:val="57B01AA6"/>
    <w:rsid w:val="57D95F15"/>
    <w:rsid w:val="57FF5CFB"/>
    <w:rsid w:val="5834523D"/>
    <w:rsid w:val="58707C72"/>
    <w:rsid w:val="58C013BA"/>
    <w:rsid w:val="58CC0A62"/>
    <w:rsid w:val="598A4842"/>
    <w:rsid w:val="59926803"/>
    <w:rsid w:val="59F74BDB"/>
    <w:rsid w:val="5A0E58C7"/>
    <w:rsid w:val="5A1F18EA"/>
    <w:rsid w:val="5A3D54A3"/>
    <w:rsid w:val="5A7E7705"/>
    <w:rsid w:val="5A900A15"/>
    <w:rsid w:val="5AC24955"/>
    <w:rsid w:val="5B2E66CC"/>
    <w:rsid w:val="5B5B4F6C"/>
    <w:rsid w:val="5B850B33"/>
    <w:rsid w:val="5C840694"/>
    <w:rsid w:val="5DC2175C"/>
    <w:rsid w:val="5DFF44F6"/>
    <w:rsid w:val="5E573259"/>
    <w:rsid w:val="5F417510"/>
    <w:rsid w:val="5F6B40B3"/>
    <w:rsid w:val="5F9B1A85"/>
    <w:rsid w:val="602A4472"/>
    <w:rsid w:val="60870750"/>
    <w:rsid w:val="6117007A"/>
    <w:rsid w:val="61215888"/>
    <w:rsid w:val="61255319"/>
    <w:rsid w:val="6153565D"/>
    <w:rsid w:val="61853AE2"/>
    <w:rsid w:val="61A9697F"/>
    <w:rsid w:val="61FD7729"/>
    <w:rsid w:val="62532E7E"/>
    <w:rsid w:val="628908E9"/>
    <w:rsid w:val="62D3223F"/>
    <w:rsid w:val="63056DE8"/>
    <w:rsid w:val="636813A7"/>
    <w:rsid w:val="63752C3C"/>
    <w:rsid w:val="63DA6A3F"/>
    <w:rsid w:val="640F17B5"/>
    <w:rsid w:val="645E732C"/>
    <w:rsid w:val="64A068D4"/>
    <w:rsid w:val="65080395"/>
    <w:rsid w:val="652C645C"/>
    <w:rsid w:val="65477214"/>
    <w:rsid w:val="65CC633C"/>
    <w:rsid w:val="665717D9"/>
    <w:rsid w:val="66A20904"/>
    <w:rsid w:val="66A80B2C"/>
    <w:rsid w:val="671F01BE"/>
    <w:rsid w:val="68BE7E39"/>
    <w:rsid w:val="690A31E2"/>
    <w:rsid w:val="6989089E"/>
    <w:rsid w:val="69E01F40"/>
    <w:rsid w:val="6A2744A4"/>
    <w:rsid w:val="6A472AD4"/>
    <w:rsid w:val="6A5A0D97"/>
    <w:rsid w:val="6A63673A"/>
    <w:rsid w:val="6A755CB7"/>
    <w:rsid w:val="6ACD0749"/>
    <w:rsid w:val="6C3371BB"/>
    <w:rsid w:val="6DE24C86"/>
    <w:rsid w:val="6DED019A"/>
    <w:rsid w:val="6DF164CF"/>
    <w:rsid w:val="6E25293D"/>
    <w:rsid w:val="6E2B704C"/>
    <w:rsid w:val="6E707380"/>
    <w:rsid w:val="6E8B6CFB"/>
    <w:rsid w:val="6F2F0793"/>
    <w:rsid w:val="6F6A04FC"/>
    <w:rsid w:val="6FD36423"/>
    <w:rsid w:val="6FFE4F7A"/>
    <w:rsid w:val="70402628"/>
    <w:rsid w:val="70C96886"/>
    <w:rsid w:val="72231CD3"/>
    <w:rsid w:val="72396872"/>
    <w:rsid w:val="72661471"/>
    <w:rsid w:val="72827401"/>
    <w:rsid w:val="72DA1D44"/>
    <w:rsid w:val="72E01973"/>
    <w:rsid w:val="731E7DE9"/>
    <w:rsid w:val="73311907"/>
    <w:rsid w:val="733B724C"/>
    <w:rsid w:val="73560DC5"/>
    <w:rsid w:val="736B461F"/>
    <w:rsid w:val="737A2701"/>
    <w:rsid w:val="73D5536B"/>
    <w:rsid w:val="74196D88"/>
    <w:rsid w:val="74C76DAA"/>
    <w:rsid w:val="74D629BE"/>
    <w:rsid w:val="75082CE7"/>
    <w:rsid w:val="75642004"/>
    <w:rsid w:val="75AD37B4"/>
    <w:rsid w:val="75D45EBE"/>
    <w:rsid w:val="75F104C8"/>
    <w:rsid w:val="760A2E99"/>
    <w:rsid w:val="765C038B"/>
    <w:rsid w:val="765F2F66"/>
    <w:rsid w:val="76AD744F"/>
    <w:rsid w:val="770F6178"/>
    <w:rsid w:val="773803CE"/>
    <w:rsid w:val="774679B4"/>
    <w:rsid w:val="79513A22"/>
    <w:rsid w:val="79AE5E5F"/>
    <w:rsid w:val="79F17E7F"/>
    <w:rsid w:val="7B0D48C0"/>
    <w:rsid w:val="7BAB01B9"/>
    <w:rsid w:val="7C5E4A19"/>
    <w:rsid w:val="7CD97B5E"/>
    <w:rsid w:val="7D167D66"/>
    <w:rsid w:val="7D67495A"/>
    <w:rsid w:val="7D7028F7"/>
    <w:rsid w:val="7DBA3142"/>
    <w:rsid w:val="7DD05A7D"/>
    <w:rsid w:val="7DF612B7"/>
    <w:rsid w:val="7EB31C09"/>
    <w:rsid w:val="7EC14203"/>
    <w:rsid w:val="7EFA3917"/>
    <w:rsid w:val="7F4F31DE"/>
    <w:rsid w:val="7F9226EB"/>
    <w:rsid w:val="7FD63D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sz w:val="18"/>
      <w:szCs w:val="18"/>
    </w:rPr>
  </w:style>
  <w:style w:type="character" w:customStyle="1" w:styleId="8">
    <w:name w:val="页脚 字符"/>
    <w:basedOn w:val="6"/>
    <w:link w:val="3"/>
    <w:qFormat/>
    <w:uiPriority w:val="99"/>
    <w:rPr>
      <w:sz w:val="18"/>
      <w:szCs w:val="18"/>
    </w:rPr>
  </w:style>
  <w:style w:type="paragraph" w:styleId="9">
    <w:name w:val="List Paragraph"/>
    <w:basedOn w:val="1"/>
    <w:qFormat/>
    <w:uiPriority w:val="34"/>
    <w:pPr>
      <w:ind w:firstLine="420" w:firstLineChars="200"/>
    </w:pPr>
  </w:style>
  <w:style w:type="character" w:customStyle="1" w:styleId="10">
    <w:name w:val="日期 字符"/>
    <w:basedOn w:val="6"/>
    <w:link w:val="2"/>
    <w:semiHidden/>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A3578-CD4C-44C5-8842-86972E362BDD}">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7</Pages>
  <Words>563</Words>
  <Characters>3215</Characters>
  <Lines>26</Lines>
  <Paragraphs>7</Paragraphs>
  <TotalTime>15</TotalTime>
  <ScaleCrop>false</ScaleCrop>
  <LinksUpToDate>false</LinksUpToDate>
  <CharactersWithSpaces>3771</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2023-01-18T10:47:00Z</dcterms:created>
  <dc:creator>Lenovo</dc:creator>
  <cp:lastModifiedBy>H</cp:lastModifiedBy>
  <cp:lastPrinted>2025-01-21T05:39:00Z</cp:lastPrinted>
  <dcterms:modified xsi:type="dcterms:W3CDTF">2026-01-26T06:30:03Z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F70AB80649F64A339890A68E332BC85B_13</vt:lpwstr>
  </property>
</Properties>
</file>